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default" w:ascii="黑体" w:eastAsia="黑体"/>
          <w:color w:val="000000"/>
          <w:sz w:val="30"/>
          <w:szCs w:val="30"/>
          <w:u w:val="single"/>
        </w:rPr>
        <w:t>20029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default"/>
          <w:color w:val="000000"/>
          <w:szCs w:val="21"/>
          <w:u w:val="single"/>
        </w:rPr>
        <w:t>20029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default"/>
          <w:color w:val="000000"/>
          <w:szCs w:val="21"/>
        </w:rPr>
        <w:t>20029</w:t>
      </w:r>
      <w:r>
        <w:rPr>
          <w:rFonts w:hint="eastAsia"/>
          <w:szCs w:val="21"/>
        </w:rPr>
        <w:t>号开放式净值型（第i期）银行理财计划开放认购（申购）申请书》约定为准。根据温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default"/>
          <w:color w:val="000000"/>
          <w:szCs w:val="21"/>
        </w:rPr>
        <w:t>20029</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rFonts w:hint="default"/>
          <w:color w:val="000000"/>
          <w:szCs w:val="21"/>
        </w:rPr>
        <w:t>20029</w:t>
      </w:r>
      <w:r>
        <w:rPr>
          <w:rFonts w:hint="eastAsia" w:ascii="宋体" w:hAnsi="宋体"/>
          <w:szCs w:val="21"/>
        </w:rPr>
        <w:t>号开放式净值型银行理财计划产品说明书》、《温州银行“金鹿理财-普惠颐养”</w:t>
      </w:r>
      <w:r>
        <w:rPr>
          <w:rFonts w:hint="default"/>
          <w:color w:val="000000"/>
          <w:szCs w:val="21"/>
        </w:rPr>
        <w:t>20029</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default" w:ascii="黑体" w:eastAsia="黑体"/>
          <w:color w:val="000000"/>
          <w:sz w:val="30"/>
          <w:szCs w:val="30"/>
          <w:u w:val="single"/>
        </w:rPr>
        <w:t>20029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default"/>
          <w:color w:val="000000"/>
          <w:sz w:val="18"/>
          <w:szCs w:val="18"/>
        </w:rPr>
        <w:t>20029</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default"/>
                <w:color w:val="000000"/>
                <w:sz w:val="18"/>
                <w:szCs w:val="18"/>
                <w:u w:val="single"/>
              </w:rPr>
              <w:t>20029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PY2029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C1092220000401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2020年12月9日至2020年12月15日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本理财计划成立日为2020年12月16日。温州银行有权根据实际募集情况选择产品提前成立，若温州银行采取以上措施，温州银行将就产品相应要素的调整事宜于提前成立日前的一个工作日在温州银行网站予以公告。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default"/>
                <w:color w:val="000000"/>
                <w:sz w:val="18"/>
                <w:szCs w:val="18"/>
              </w:rPr>
              <w:t>20029</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color w:val="000000"/>
                <w:sz w:val="18"/>
                <w:szCs w:val="18"/>
              </w:rPr>
              <w:t>20029</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default"/>
          <w:color w:val="000000"/>
          <w:sz w:val="18"/>
          <w:szCs w:val="18"/>
        </w:rPr>
        <w:t>20029</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：本理财计划成立日为2020年12月16日，从成立日起，每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本产品预计到期终止日为2032年12月16日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ascii="宋体" w:hAnsi="宋体"/>
          <w:color w:val="000000"/>
          <w:sz w:val="18"/>
        </w:rPr>
        <w:t>20029</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 ，该投资运作周期单位累计分红净额0.097。投资运作周期到期清算时，扣除托管费、固定管理费后及其他费用（不含浮动管理费），如产品累计净值为1.1455，此时， (1.1455/1.00-1)×365/1092= 4.86%&gt; 4.7%，即投资收益率超越业绩比较基准，则投资管理人对超过业绩比较基准部分收益收取浮动管理费，浮动管理费为： 100,000.00×[1.1455-1.00×(1+ 4.7%×1092/365)]×50%=244.32（元）。扣除浮动管理费后，客户剩余理财收益为：100,000.00×（1.1455-1.00-0.097）-244.32=4605.68（元），产品投资运作周期到期时，客户本周期获得的实际收益相当于达到年化收益率水平为：（4605.68+100,000.00×0.097）/100,000.00×365/1092=4.78%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 ，该投资运作周期单位累计分红净额0.091。投资运作周期到期清算时，扣除托管费、固定管理费及其他费用（不含浮动管理费）后，如产品净值为1.1395，此时，(1.1395/1.00-1)×365/1092=4.66%&lt;4.7%，即投资收益率未达到业绩比较基准，则投资管理人不收取浮动管理费，客户剩余理财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1092天。假设产品业绩比较基准为4.7%，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default" w:ascii="宋体" w:hAnsi="宋体"/>
          <w:color w:val="000000"/>
          <w:sz w:val="18"/>
        </w:rPr>
        <w:t>20029</w:t>
      </w:r>
      <w:r>
        <w:rPr>
          <w:rFonts w:hint="eastAsia"/>
          <w:sz w:val="18"/>
          <w:szCs w:val="18"/>
        </w:rPr>
        <w:t>号开放式净值型银行理财计划风险揭示书》、《温州银行“金鹿理财”银行理财计划合约》、《温州银行“金鹿理财-普惠颐养”</w:t>
      </w:r>
      <w:r>
        <w:rPr>
          <w:rFonts w:hint="default" w:ascii="宋体" w:hAnsi="宋体"/>
          <w:color w:val="000000"/>
          <w:sz w:val="18"/>
        </w:rPr>
        <w:t>20029</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1vs2OIglskp66u+pHuHki4K+0Tk=" w:salt="gyGxArV2dfN+fbOxc7gzuA=="/>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0B268D6"/>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7DFF8"/>
    <w:rsid w:val="6B6E5976"/>
    <w:rsid w:val="6C1D1256"/>
    <w:rsid w:val="6C592131"/>
    <w:rsid w:val="6CA75DD7"/>
    <w:rsid w:val="6CEB63D2"/>
    <w:rsid w:val="731C3643"/>
    <w:rsid w:val="7354733A"/>
    <w:rsid w:val="75FE40B4"/>
    <w:rsid w:val="769C0D96"/>
    <w:rsid w:val="79A903BE"/>
    <w:rsid w:val="7A8D5E63"/>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uiPriority w:val="0"/>
    <w:pPr>
      <w:jc w:val="left"/>
    </w:pPr>
  </w:style>
  <w:style w:type="paragraph" w:styleId="3">
    <w:name w:val="Balloon Text"/>
    <w:basedOn w:val="1"/>
    <w:link w:val="15"/>
    <w:uiPriority w:val="0"/>
    <w:rPr>
      <w:sz w:val="18"/>
      <w:szCs w:val="18"/>
    </w:rPr>
  </w:style>
  <w:style w:type="paragraph" w:styleId="4">
    <w:name w:val="footer"/>
    <w:basedOn w:val="1"/>
    <w:link w:val="12"/>
    <w:uiPriority w:val="99"/>
    <w:pPr>
      <w:tabs>
        <w:tab w:val="center" w:pos="4153"/>
        <w:tab w:val="right" w:pos="8306"/>
      </w:tabs>
      <w:snapToGrid w:val="0"/>
      <w:jc w:val="left"/>
    </w:pPr>
    <w:rPr>
      <w:sz w:val="18"/>
      <w:szCs w:val="18"/>
    </w:rPr>
  </w:style>
  <w:style w:type="paragraph" w:styleId="5">
    <w:name w:val="header"/>
    <w:basedOn w:val="1"/>
    <w:link w:val="14"/>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rPr>
      <w:sz w:val="24"/>
    </w:rPr>
  </w:style>
  <w:style w:type="paragraph" w:styleId="7">
    <w:name w:val="annotation subject"/>
    <w:basedOn w:val="2"/>
    <w:next w:val="2"/>
    <w:link w:val="13"/>
    <w:uiPriority w:val="0"/>
    <w:rPr>
      <w:b/>
      <w:bCs/>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iPriority w:val="0"/>
    <w:rPr>
      <w:sz w:val="21"/>
      <w:szCs w:val="21"/>
    </w:rPr>
  </w:style>
  <w:style w:type="character" w:customStyle="1" w:styleId="12">
    <w:name w:val="页脚 字符"/>
    <w:link w:val="4"/>
    <w:uiPriority w:val="99"/>
    <w:rPr>
      <w:kern w:val="2"/>
      <w:sz w:val="18"/>
      <w:szCs w:val="18"/>
    </w:rPr>
  </w:style>
  <w:style w:type="character" w:customStyle="1" w:styleId="13">
    <w:name w:val="批注主题 字符"/>
    <w:link w:val="7"/>
    <w:uiPriority w:val="0"/>
    <w:rPr>
      <w:b/>
      <w:bCs/>
      <w:kern w:val="2"/>
      <w:sz w:val="21"/>
    </w:rPr>
  </w:style>
  <w:style w:type="character" w:customStyle="1" w:styleId="14">
    <w:name w:val="页眉 字符"/>
    <w:link w:val="5"/>
    <w:uiPriority w:val="0"/>
    <w:rPr>
      <w:kern w:val="2"/>
      <w:sz w:val="18"/>
      <w:szCs w:val="18"/>
    </w:rPr>
  </w:style>
  <w:style w:type="character" w:customStyle="1" w:styleId="15">
    <w:name w:val="批注框文本 字符"/>
    <w:link w:val="3"/>
    <w:uiPriority w:val="0"/>
    <w:rPr>
      <w:kern w:val="2"/>
      <w:sz w:val="18"/>
      <w:szCs w:val="18"/>
    </w:rPr>
  </w:style>
  <w:style w:type="character" w:customStyle="1" w:styleId="16">
    <w:name w:val="批注文字 字符"/>
    <w:link w:val="2"/>
    <w:uiPriority w:val="0"/>
    <w:rPr>
      <w:kern w:val="2"/>
      <w:sz w:val="21"/>
    </w:rPr>
  </w:style>
  <w:style w:type="paragraph" w:customStyle="1" w:styleId="17">
    <w:name w:val="_Style 16"/>
    <w:unhideWhenUsed/>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34</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2022-03-03T18:57:00Z</dcterms:created>
  <dc:creator>潘伟蕾</dc:creator>
  <cp:lastModifiedBy>应心茹</cp:lastModifiedBy>
  <cp:lastPrinted>2012-11-29T18:11:00Z</cp:lastPrinted>
  <dcterms:modified xsi:type="dcterms:W3CDTF">2023-12-01T09:36:48Z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