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23024</w:t>
      </w:r>
      <w:r>
        <w:rPr>
          <w:rFonts w:hint="eastAsia" w:ascii="黑体" w:eastAsia="黑体"/>
          <w:sz w:val="30"/>
          <w:szCs w:val="30"/>
          <w:highlight w:val="none"/>
        </w:rPr>
        <w:t>号（稳健低波款）银行理财计划风险揭示书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23024</w:t>
      </w:r>
      <w:r>
        <w:rPr>
          <w:rFonts w:hint="eastAsia"/>
          <w:szCs w:val="21"/>
          <w:highlight w:val="none"/>
        </w:rPr>
        <w:t>号（稳健低波款）银行理财计划，投资类型属于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lang w:val="en-US" w:eastAsia="zh-CN"/>
        </w:rPr>
        <w:t>399</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（稳健型）：总体风险程度较低，银行不承诺本金保障但本金损失可能性很小，产品收益随投资表现变动。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23024</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23024</w:t>
      </w:r>
      <w:r>
        <w:rPr>
          <w:rFonts w:hint="eastAsia" w:ascii="宋体" w:hAnsi="宋体"/>
          <w:szCs w:val="21"/>
          <w:highlight w:val="none"/>
        </w:rPr>
        <w:t>号</w:t>
      </w:r>
      <w:r>
        <w:rPr>
          <w:rFonts w:hint="eastAsia"/>
          <w:szCs w:val="21"/>
          <w:highlight w:val="none"/>
        </w:rPr>
        <w:t>（稳健低波款）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6"/>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23024</w:t>
      </w:r>
      <w:r>
        <w:rPr>
          <w:rFonts w:hint="eastAsia" w:ascii="黑体" w:eastAsia="黑体"/>
          <w:bCs/>
          <w:sz w:val="30"/>
          <w:szCs w:val="30"/>
          <w:highlight w:val="none"/>
        </w:rPr>
        <w:t>号（稳健低波款）</w:t>
      </w:r>
    </w:p>
    <w:p>
      <w:pPr>
        <w:pStyle w:val="16"/>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23024</w:t>
      </w:r>
      <w:r>
        <w:rPr>
          <w:rFonts w:hint="eastAsia"/>
          <w:sz w:val="18"/>
          <w:szCs w:val="18"/>
          <w:highlight w:val="none"/>
        </w:rPr>
        <w:t>号（稳健低波款）银行理财计划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bookmarkStart w:id="0" w:name="_GoBack"/>
      <w:bookmarkEnd w:id="0"/>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23024</w:t>
            </w:r>
            <w:r>
              <w:rPr>
                <w:sz w:val="18"/>
                <w:szCs w:val="18"/>
                <w:highlight w:val="none"/>
              </w:rPr>
              <w:t>号</w:t>
            </w:r>
            <w:r>
              <w:rPr>
                <w:rFonts w:hint="eastAsia"/>
                <w:sz w:val="18"/>
                <w:szCs w:val="18"/>
                <w:highlight w:val="none"/>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JW2324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sz w:val="18"/>
                <w:szCs w:val="18"/>
                <w:highlight w:val="none"/>
                <w:lang w:val="en-US" w:eastAsia="zh-CN"/>
              </w:rPr>
            </w:pPr>
            <w:r>
              <w:rPr>
                <w:rFonts w:hint="default"/>
                <w:color w:val="000000"/>
                <w:sz w:val="18"/>
                <w:szCs w:val="18"/>
                <w:highlight w:val="none"/>
              </w:rPr>
              <w:t>C10922230000</w:t>
            </w:r>
            <w:r>
              <w:rPr>
                <w:rFonts w:hint="eastAsia"/>
                <w:color w:val="000000"/>
                <w:sz w:val="18"/>
                <w:szCs w:val="18"/>
                <w:highlight w:val="none"/>
                <w:lang w:val="en-US" w:eastAsia="zh-CN"/>
              </w:rPr>
              <w:t>30</w:t>
            </w:r>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发行方式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公开募集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lang w:val="en-US" w:eastAsia="zh-CN"/>
              </w:rPr>
              <w:t>399</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w:t>
            </w:r>
            <w:r>
              <w:rPr>
                <w:rFonts w:hint="eastAsia"/>
                <w:sz w:val="18"/>
                <w:szCs w:val="18"/>
                <w:highlight w:val="none"/>
                <w:lang w:val="en-US" w:eastAsia="zh-CN"/>
              </w:rPr>
              <w:t>2</w:t>
            </w:r>
            <w:r>
              <w:rPr>
                <w:rFonts w:hint="eastAsia"/>
                <w:sz w:val="18"/>
                <w:szCs w:val="18"/>
                <w:highlight w:val="none"/>
              </w:rPr>
              <w:t>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2023年12月12日</w:t>
            </w:r>
            <w:r>
              <w:rPr>
                <w:rFonts w:hint="eastAsia"/>
                <w:sz w:val="18"/>
                <w:highlight w:val="none"/>
                <w:u w:val="single"/>
              </w:rPr>
              <w:t>至</w:t>
            </w:r>
            <w:r>
              <w:rPr>
                <w:rFonts w:hint="default"/>
                <w:color w:val="000000"/>
                <w:sz w:val="18"/>
                <w:highlight w:val="none"/>
                <w:u w:val="single"/>
              </w:rPr>
              <w:t>2023年12月18日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highlight w:val="none"/>
                <w:u w:val="single"/>
              </w:rPr>
              <w:t>2023年12月19日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highlight w:val="none"/>
                <w:u w:val="single"/>
              </w:rPr>
              <w:t>2025年1月21日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3.45%（年化）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若本理财产品扣除产品固定管理费（如有）、托管费及其他费用（如有）后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单笔认购</w:t>
            </w:r>
            <w:r>
              <w:rPr>
                <w:sz w:val="18"/>
                <w:szCs w:val="18"/>
                <w:highlight w:val="none"/>
              </w:rPr>
              <w:t>/</w:t>
            </w:r>
            <w:r>
              <w:rPr>
                <w:rFonts w:hint="eastAsia"/>
                <w:sz w:val="18"/>
                <w:szCs w:val="18"/>
                <w:highlight w:val="none"/>
              </w:rPr>
              <w:t>申购</w:t>
            </w:r>
          </w:p>
          <w:p>
            <w:pPr>
              <w:adjustRightInd w:val="0"/>
              <w:snapToGrid w:val="0"/>
              <w:spacing w:line="288" w:lineRule="auto"/>
              <w:jc w:val="center"/>
              <w:rPr>
                <w:sz w:val="18"/>
                <w:szCs w:val="18"/>
                <w:highlight w:val="none"/>
              </w:rPr>
            </w:pPr>
            <w:r>
              <w:rPr>
                <w:rFonts w:hint="eastAsia"/>
                <w:sz w:val="18"/>
                <w:szCs w:val="18"/>
                <w:highlight w:val="none"/>
              </w:rPr>
              <w:t>最低份额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1、投资对象</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、投资范围与投资比例</w:t>
      </w:r>
    </w:p>
    <w:tbl>
      <w:tblPr>
        <w:tblStyle w:val="8"/>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rFonts w:hint="eastAsia"/>
          <w:sz w:val="18"/>
          <w:szCs w:val="18"/>
          <w:highlight w:val="none"/>
        </w:rPr>
      </w:pPr>
      <w:r>
        <w:rPr>
          <w:rFonts w:hint="eastAsia"/>
          <w:sz w:val="18"/>
          <w:szCs w:val="18"/>
          <w:highlight w:val="none"/>
        </w:rPr>
        <w:t>本产品采用安全性和流动性优先、追求适度收益的投资策略。</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rFonts w:hint="eastAsia"/>
          <w:b/>
          <w:bCs/>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rFonts w:hint="eastAsia"/>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本产品业绩比较基准为3.45%（年化）。本产品业绩比较基准仅作为计提产品浮动管理费的依据，不构成温州银行对该理财产品的任何收益承诺。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highlight w:val="none"/>
        </w:rPr>
        <w:t>2023年12月12日</w:t>
      </w:r>
      <w:r>
        <w:rPr>
          <w:rFonts w:hint="eastAsia"/>
          <w:sz w:val="18"/>
          <w:highlight w:val="none"/>
        </w:rPr>
        <w:t>至</w:t>
      </w:r>
      <w:r>
        <w:rPr>
          <w:rFonts w:hint="default"/>
          <w:color w:val="000000"/>
          <w:sz w:val="18"/>
          <w:highlight w:val="none"/>
        </w:rPr>
        <w:t>2023年12月18日</w:t>
      </w:r>
      <w:r>
        <w:rPr>
          <w:rFonts w:hint="eastAsia"/>
          <w:sz w:val="18"/>
          <w:szCs w:val="18"/>
          <w:highlight w:val="none"/>
        </w:rPr>
        <w:t>，认购份额=认购金额÷1元</w:t>
      </w:r>
    </w:p>
    <w:p>
      <w:pPr>
        <w:adjustRightInd w:val="0"/>
        <w:snapToGrid w:val="0"/>
        <w:spacing w:line="286" w:lineRule="auto"/>
        <w:rPr>
          <w:sz w:val="18"/>
          <w:szCs w:val="18"/>
          <w:highlight w:val="none"/>
        </w:rPr>
      </w:pPr>
      <w:r>
        <w:rPr>
          <w:rFonts w:hint="eastAsia"/>
          <w:sz w:val="18"/>
          <w:szCs w:val="18"/>
          <w:highlight w:val="none"/>
        </w:rPr>
        <w:t>4、终止（提前终止）</w:t>
      </w:r>
    </w:p>
    <w:p>
      <w:pPr>
        <w:adjustRightInd w:val="0"/>
        <w:snapToGrid w:val="0"/>
        <w:spacing w:line="286" w:lineRule="auto"/>
        <w:rPr>
          <w:sz w:val="18"/>
          <w:highlight w:val="none"/>
        </w:rPr>
      </w:pPr>
      <w:r>
        <w:rPr>
          <w:rFonts w:hint="eastAsia"/>
          <w:sz w:val="18"/>
          <w:szCs w:val="18"/>
          <w:highlight w:val="none"/>
        </w:rPr>
        <w:t>本产品预计到期终止日为</w:t>
      </w:r>
      <w:r>
        <w:rPr>
          <w:rFonts w:hint="default"/>
          <w:color w:val="000000"/>
          <w:sz w:val="18"/>
          <w:highlight w:val="none"/>
        </w:rPr>
        <w:t>2025年1月21日</w:t>
      </w:r>
      <w:r>
        <w:rPr>
          <w:rFonts w:hint="eastAsia"/>
          <w:sz w:val="18"/>
          <w:highlight w:val="none"/>
        </w:rPr>
        <w:t>，如发生下列情形之一的，温州银行有权但无义务终止理财计划：</w:t>
      </w:r>
    </w:p>
    <w:p>
      <w:pPr>
        <w:numPr>
          <w:ilvl w:val="0"/>
          <w:numId w:val="1"/>
        </w:numPr>
        <w:adjustRightInd w:val="0"/>
        <w:snapToGrid w:val="0"/>
        <w:spacing w:line="286" w:lineRule="auto"/>
        <w:rPr>
          <w:sz w:val="18"/>
          <w:szCs w:val="18"/>
          <w:highlight w:val="none"/>
        </w:rPr>
      </w:pPr>
      <w:r>
        <w:rPr>
          <w:rFonts w:hint="eastAsia"/>
          <w:sz w:val="18"/>
          <w:szCs w:val="18"/>
          <w:highlight w:val="none"/>
        </w:rPr>
        <w:t>如遇国家金融政策出现重大调整并影响到本产品的正常运行时，银行有权提前终止本产品。</w:t>
      </w:r>
    </w:p>
    <w:p>
      <w:pPr>
        <w:adjustRightInd w:val="0"/>
        <w:snapToGrid w:val="0"/>
        <w:spacing w:line="286" w:lineRule="auto"/>
        <w:rPr>
          <w:sz w:val="18"/>
          <w:szCs w:val="18"/>
          <w:highlight w:val="none"/>
        </w:rPr>
      </w:pPr>
      <w:r>
        <w:rPr>
          <w:rFonts w:hint="eastAsia"/>
          <w:sz w:val="18"/>
          <w:highlight w:val="none"/>
        </w:rPr>
        <w:t>（2）因本理财产品投向的金融资产所涉及的相关主体信用恶化，市场利率大幅下滑，温州银行合理判断将影响本理财产品正常运作的</w:t>
      </w:r>
      <w:r>
        <w:rPr>
          <w:rFonts w:hint="eastAsia"/>
          <w:sz w:val="18"/>
          <w:szCs w:val="18"/>
          <w:highlight w:val="none"/>
        </w:rPr>
        <w:t>，或温州银行有合理理由认为出现了影响本理财计划正常运作的其他情形的</w:t>
      </w:r>
      <w:r>
        <w:rPr>
          <w:rFonts w:hint="eastAsia"/>
          <w:sz w:val="18"/>
          <w:highlight w:val="none"/>
        </w:rPr>
        <w:t>。</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399天。假设产品业绩比较基准为3.45%。到期时扣除托管费、销售服务费、固定管理费及其他费用（如有）后，如产品净值为1.04，此时， (1.04/1.00-1)×365/399=3.66%&gt;3.45%，即投资收益超越业绩比较基准，则投资管理人对超过业绩比较基准部分收益收取浮动管理费，浮动管理费为：1,000,000.00×[1.04-1.00×(1+3.45%×399/365)]×80%=1829.04（元）。扣除浮动管理费后，客户最终收益为：1,000,000.00×（1.04-1.00）-1829.04=38170.96（元），产品到期时，客户获得的实际收益相当于达到年化收益率水平为：38170.96/1,000,000.00×365/399=3.49%。</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399天。假设产品业绩比较基准为3.45%。到期时扣除托管费、销售服务费、固定管理费及其他费用（如有）后，如产品净值为1.03，此时，(1.03/1.00-1)×365/399=2.74%&lt;3.45%，即投资收益未达到业绩比较基准，则投资管理人不收取浮动管理费，客户最终收益为：1,000,000.00×(1.03-1.00）=30000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399天。假设产品业绩比较基准为3.45%，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23024</w:t>
      </w:r>
      <w:r>
        <w:rPr>
          <w:rFonts w:hint="eastAsia"/>
          <w:sz w:val="18"/>
          <w:szCs w:val="18"/>
          <w:highlight w:val="none"/>
        </w:rPr>
        <w:t>号（稳健低波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63E0A"/>
    <w:multiLevelType w:val="singleLevel"/>
    <w:tmpl w:val="C7563E0A"/>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1" w:cryptProviderType="rsaFull" w:cryptAlgorithmClass="hash" w:cryptAlgorithmType="typeAny" w:cryptAlgorithmSid="4" w:cryptSpinCount="0" w:hash="y7U9iIa6jiqdRhEbCxHHUrmJHBY=" w:salt="ffRLfrvQlIVpBys/roNH0Q=="/>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B26F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91B96"/>
    <w:rsid w:val="00693A8D"/>
    <w:rsid w:val="00714A37"/>
    <w:rsid w:val="00737995"/>
    <w:rsid w:val="00757B1C"/>
    <w:rsid w:val="00766CF2"/>
    <w:rsid w:val="0078088F"/>
    <w:rsid w:val="007828DA"/>
    <w:rsid w:val="007918BA"/>
    <w:rsid w:val="00795498"/>
    <w:rsid w:val="007A7805"/>
    <w:rsid w:val="00832709"/>
    <w:rsid w:val="00836614"/>
    <w:rsid w:val="00866A5E"/>
    <w:rsid w:val="009115E2"/>
    <w:rsid w:val="009E3776"/>
    <w:rsid w:val="009E5DE6"/>
    <w:rsid w:val="00A529EE"/>
    <w:rsid w:val="00A95D28"/>
    <w:rsid w:val="00B02D36"/>
    <w:rsid w:val="00B032AE"/>
    <w:rsid w:val="00BB1978"/>
    <w:rsid w:val="00BB27A2"/>
    <w:rsid w:val="00BC2F8D"/>
    <w:rsid w:val="00BD36C8"/>
    <w:rsid w:val="00C237B9"/>
    <w:rsid w:val="00C34FBE"/>
    <w:rsid w:val="00CE5B75"/>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CF37DD"/>
    <w:rsid w:val="17FB0939"/>
    <w:rsid w:val="18377CAF"/>
    <w:rsid w:val="18AD336C"/>
    <w:rsid w:val="191D5323"/>
    <w:rsid w:val="19E25A8D"/>
    <w:rsid w:val="1A5F6148"/>
    <w:rsid w:val="1EBD7528"/>
    <w:rsid w:val="20DB6550"/>
    <w:rsid w:val="22A04815"/>
    <w:rsid w:val="22B51534"/>
    <w:rsid w:val="23535C37"/>
    <w:rsid w:val="26531D8B"/>
    <w:rsid w:val="268A5E41"/>
    <w:rsid w:val="275A751E"/>
    <w:rsid w:val="27BD2B01"/>
    <w:rsid w:val="27DE6CFF"/>
    <w:rsid w:val="28076A45"/>
    <w:rsid w:val="296645C3"/>
    <w:rsid w:val="2ACF0E36"/>
    <w:rsid w:val="2D1D2B95"/>
    <w:rsid w:val="2DAA578D"/>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E2566A4"/>
    <w:rsid w:val="3F7E5351"/>
    <w:rsid w:val="3FBD214F"/>
    <w:rsid w:val="4146226E"/>
    <w:rsid w:val="424649EA"/>
    <w:rsid w:val="43712A5A"/>
    <w:rsid w:val="4409550D"/>
    <w:rsid w:val="45FA54E8"/>
    <w:rsid w:val="462B298E"/>
    <w:rsid w:val="489032CB"/>
    <w:rsid w:val="4CBDE6D6"/>
    <w:rsid w:val="4EFE40C2"/>
    <w:rsid w:val="54133033"/>
    <w:rsid w:val="54346BD2"/>
    <w:rsid w:val="546F0E0A"/>
    <w:rsid w:val="56865A7D"/>
    <w:rsid w:val="56AB5155"/>
    <w:rsid w:val="57313966"/>
    <w:rsid w:val="58A26889"/>
    <w:rsid w:val="5A6C6059"/>
    <w:rsid w:val="5AC90CB7"/>
    <w:rsid w:val="5D0B2C53"/>
    <w:rsid w:val="5DD76B10"/>
    <w:rsid w:val="5E014390"/>
    <w:rsid w:val="5E777DB5"/>
    <w:rsid w:val="5F4A6202"/>
    <w:rsid w:val="61E21802"/>
    <w:rsid w:val="623D1E92"/>
    <w:rsid w:val="627B657A"/>
    <w:rsid w:val="6522045B"/>
    <w:rsid w:val="67DC31E6"/>
    <w:rsid w:val="68785140"/>
    <w:rsid w:val="693E0188"/>
    <w:rsid w:val="699C4EA7"/>
    <w:rsid w:val="6D15771F"/>
    <w:rsid w:val="6F291A04"/>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link w:val="10"/>
    <w:unhideWhenUsed/>
    <w:uiPriority w:val="99"/>
    <w:pPr>
      <w:jc w:val="left"/>
    </w:pPr>
    <w:rPr>
      <w:rFonts w:ascii="Times New Roman" w:hAnsi="Times New Roman"/>
    </w:rPr>
  </w:style>
  <w:style w:type="paragraph" w:styleId="3">
    <w:name w:val="Plain Text"/>
    <w:basedOn w:val="1"/>
    <w:link w:val="11"/>
    <w:unhideWhenUsed/>
    <w:uiPriority w:val="99"/>
    <w:rPr>
      <w:rFonts w:ascii="宋体" w:hAnsi="Courier New"/>
      <w:kern w:val="0"/>
      <w:sz w:val="20"/>
      <w:szCs w:val="21"/>
    </w:rPr>
  </w:style>
  <w:style w:type="paragraph" w:styleId="4">
    <w:name w:val="Balloon Text"/>
    <w:basedOn w:val="1"/>
    <w:link w:val="12"/>
    <w:unhideWhenUsed/>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批注文字 字符"/>
    <w:link w:val="2"/>
    <w:uiPriority w:val="99"/>
    <w:rPr>
      <w:rFonts w:ascii="Times New Roman" w:hAnsi="Times New Roman"/>
      <w:kern w:val="2"/>
      <w:sz w:val="21"/>
    </w:rPr>
  </w:style>
  <w:style w:type="character" w:customStyle="1" w:styleId="11">
    <w:name w:val="纯文本 字符"/>
    <w:link w:val="3"/>
    <w:uiPriority w:val="99"/>
    <w:rPr>
      <w:rFonts w:ascii="宋体" w:hAnsi="Courier New" w:eastAsia="宋体" w:cs="Courier New"/>
      <w:szCs w:val="21"/>
    </w:rPr>
  </w:style>
  <w:style w:type="character" w:customStyle="1" w:styleId="12">
    <w:name w:val="批注框文本 字符"/>
    <w:link w:val="4"/>
    <w:semiHidden/>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1954</Words>
  <Characters>11138</Characters>
  <Lines>92</Lines>
  <Paragraphs>26</Paragraphs>
  <TotalTime>6</TotalTime>
  <ScaleCrop>false</ScaleCrop>
  <LinksUpToDate>false</LinksUpToDate>
  <CharactersWithSpaces>13066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2023-12-07T02:43:31Z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