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普惠颐养”21049号开放式净值型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第2期733天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21049号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PY2149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3.75%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2023年12月15日至2023年12月21日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2023年12月22日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2024年12月25日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2025年12月17日</w:t>
            </w:r>
            <w:r>
              <w:rPr>
                <w:rFonts w:hint="eastAsia" w:ascii="宋体" w:hAnsi="宋体" w:eastAsia="宋体" w:cs="Times New Roman"/>
                <w:color w:val="000000"/>
                <w:kern w:val="0"/>
                <w:sz w:val="18"/>
                <w:szCs w:val="18"/>
                <w:u w:val="single"/>
                <w:lang w:val="en-US" w:eastAsia="zh-Hans" w:bidi="ar-SA"/>
              </w:rPr>
              <w:t>至2025年12月23日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2025年12月24日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21049号开放式净值型银行理财计划风险揭示书》、《温州银行“金鹿理财-普惠颐养”21049号开放式净值型银行理财计划产品说明书》、《温州银行“金鹿理财-普惠颐养”21049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期733天）银行理财计划开放认购（申购）申请书》和《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0RJHjYdmiPcAmdFINKjwfQcnsZ8=" w:salt="FQkYF5VlmjSRwiK7301PE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1B576CF"/>
    <w:rsid w:val="3BEF0754"/>
    <w:rsid w:val="511E88BC"/>
    <w:rsid w:val="707463CB"/>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2023-12-07T02:37:05Z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