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第35期28天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35</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2.7%-3.3%</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2023年12月14日至2023年12月20日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2024年1月11日</w:t>
            </w:r>
            <w:r>
              <w:rPr>
                <w:rFonts w:hint="eastAsia" w:ascii="宋体" w:hAnsi="宋体" w:eastAsia="宋体" w:cs="Times New Roman"/>
                <w:color w:val="000000"/>
                <w:kern w:val="0"/>
                <w:sz w:val="18"/>
                <w:szCs w:val="18"/>
                <w:u w:val="single"/>
                <w:lang w:val="en-US" w:eastAsia="zh-Hans" w:bidi="ar-SA"/>
              </w:rPr>
              <w:t>至2024年1月17日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“金鹿理财-普惠月享”3号开放式净值型银行理财计划风险揭示书》、《温州银行“金鹿理财-普惠月享”3号开放式净值型银行理财计划产品说明书》、《温州银行“金鹿理财-普惠月享”3号开放式净值型（第</w:t>
            </w:r>
            <w:r>
              <w:rPr>
                <w:rFonts w:hint="eastAsia" w:ascii="宋体" w:hAnsi="宋体" w:eastAsia="宋体"/>
                <w:color w:val="000000"/>
                <w:sz w:val="18"/>
                <w:szCs w:val="20"/>
                <w:lang w:val="en-US" w:eastAsia="zh-Hans"/>
              </w:rPr>
              <w:t>35</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rmM7jkusp3Tk7zb9d6XUCkDE3gE=" w:salt="9rgubnlIY5ypRpfCfOBVY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D5837F6"/>
    <w:rsid w:val="511E88BC"/>
    <w:rsid w:val="7F7EC3B3"/>
    <w:rsid w:val="BB5FEA51"/>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2023-12-07T02:37:06Z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