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温盈”19003号开放式净值型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19003号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2023年12月13日至2023年12月19日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2024年6月12日</w:t>
            </w:r>
            <w:r>
              <w:rPr>
                <w:rFonts w:hint="eastAsia" w:ascii="宋体" w:hAnsi="宋体" w:eastAsia="宋体" w:cs="Times New Roman"/>
                <w:color w:val="000000"/>
                <w:kern w:val="0"/>
                <w:sz w:val="18"/>
                <w:szCs w:val="18"/>
                <w:u w:val="single"/>
                <w:lang w:val="en-US" w:eastAsia="zh-Hans" w:bidi="ar-SA"/>
              </w:rPr>
              <w:t>至2024年6月18日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2024年6月19日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“金鹿理财-温盈”19003号开放式净值型银行理财计划风险揭示书》、《温州银行“金鹿理财-温盈”19003号开放式净值型银行理财计划产品说明书》、《温州银行“金鹿理财-温盈”19003号开放式净值型（第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KOjcHFMYv+yApsRX5Y4TN6H/RzQ=" w:salt="IEhfK/Gp0SD8x//m+Of9h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00B616F"/>
    <w:rsid w:val="3BEF0754"/>
    <w:rsid w:val="511E88BC"/>
    <w:rsid w:val="7E2737C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2023-12-07T02:37:03Z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