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第4期540天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期540天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3.4%-3.9%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2023年12月11日至2023年12月17日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540天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2025年6月3日</w:t>
            </w:r>
            <w:r>
              <w:rPr>
                <w:rFonts w:hint="eastAsia" w:ascii="宋体" w:hAnsi="宋体" w:eastAsia="宋体" w:cs="Times New Roman"/>
                <w:color w:val="000000"/>
                <w:kern w:val="0"/>
                <w:sz w:val="18"/>
                <w:szCs w:val="18"/>
                <w:u w:val="single"/>
                <w:lang w:val="en-US" w:eastAsia="zh-Hans" w:bidi="ar-SA"/>
              </w:rPr>
              <w:t>至2025年6月9日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“金鹿理财-温盈”19007号开放式净值型银行理财计划风险揭示书》、《温州银行“金鹿理财-温盈”19007号开放式净值型银行理财计划产品说明书》、《温州银行“金鹿理财-温盈”19007号开放式净值型（第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期540天）银行理财计划开放认购（申购）申请书》和《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6RamHeCdeWEEsGMfkdjJaKTuVI=" w:salt="KQ+ANhpK8ufD+jvYgkcY1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F7D0E27"/>
    <w:rsid w:val="511E88BC"/>
    <w:rsid w:val="70F1215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