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普惠颐养”21051号开放式净值型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21051号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3.70%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2023年12月29日至2024年1月4日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2025年1月8日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2025年12月31日</w:t>
            </w:r>
            <w:r>
              <w:rPr>
                <w:rFonts w:hint="eastAsia" w:ascii="宋体" w:hAnsi="宋体" w:eastAsia="宋体" w:cs="Times New Roman"/>
                <w:color w:val="000000"/>
                <w:kern w:val="0"/>
                <w:sz w:val="18"/>
                <w:szCs w:val="18"/>
                <w:u w:val="single"/>
                <w:lang w:val="en-US" w:eastAsia="zh-Hans" w:bidi="ar-SA"/>
              </w:rPr>
              <w:t>至2026年1月6日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21051号开放式净值型银行理财计划风险揭示书》、《温州银行“金鹿理财-普惠颐养”21051号开放式净值型银行理财计划产品说明书》、《温州银行“金鹿理财-普惠颐养”21051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z1T7mkAHdwn0kDQEzpxx3rA8j8=" w:salt="YJ8OpeicTpUkfPnAPrymp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E17697F"/>
    <w:rsid w:val="511E88BC"/>
    <w:rsid w:val="7F7EC3B3"/>
    <w:rsid w:val="BBDDF786"/>
    <w:rsid w:val="E7EC35E9"/>
    <w:rsid w:val="EAFE2858"/>
    <w:rsid w:val="FFBF9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6</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2023-12-25T09:28:11Z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