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第36期28天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36</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2.7%-3.2%</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2023年12月28日至2024年1月3日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2024年1月4日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2024年1月25日</w:t>
            </w:r>
            <w:r>
              <w:rPr>
                <w:rFonts w:hint="eastAsia" w:ascii="宋体" w:hAnsi="宋体" w:eastAsia="宋体" w:cs="Times New Roman"/>
                <w:color w:val="000000"/>
                <w:kern w:val="0"/>
                <w:sz w:val="18"/>
                <w:szCs w:val="18"/>
                <w:u w:val="single"/>
                <w:lang w:val="en-US" w:eastAsia="zh-Hans" w:bidi="ar-SA"/>
              </w:rPr>
              <w:t>至2024年1月31日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2024年2月1日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“金鹿理财-普惠月享”1号开放式净值型银行理财计划风险揭示书》、《温州银行“金鹿理财-普惠月享”1号开放式净值型银行理财计划产品说明书》、《温州银行“金鹿理财-普惠月享”1号开放式净值型（第</w:t>
            </w:r>
            <w:r>
              <w:rPr>
                <w:rFonts w:hint="eastAsia" w:ascii="宋体" w:hAnsi="宋体" w:eastAsia="宋体"/>
                <w:color w:val="000000"/>
                <w:sz w:val="18"/>
                <w:szCs w:val="20"/>
                <w:lang w:val="en-US" w:eastAsia="zh-Hans"/>
              </w:rPr>
              <w:t>36</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DeU924nqn4Wem1msInJYPN4JOxY=" w:salt="FmIvpMKD5qday4z+skjcM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35C4197"/>
    <w:rsid w:val="3BEF0754"/>
    <w:rsid w:val="511E88BC"/>
    <w:rsid w:val="7F7EC3B3"/>
    <w:rsid w:val="BBDDF786"/>
    <w:rsid w:val="E7EC35E9"/>
    <w:rsid w:val="EAFE2858"/>
    <w:rsid w:val="FD5DE4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2023-12-25T09:28:11Z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