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highlight w:val="none"/>
        </w:rPr>
      </w:pPr>
      <w:bookmarkStart w:id="0" w:name="_GoBack"/>
      <w:bookmarkEnd w:id="0"/>
      <w:r>
        <w:rPr>
          <w:rFonts w:hint="eastAsia" w:ascii="黑体" w:eastAsia="黑体"/>
          <w:sz w:val="30"/>
          <w:szCs w:val="30"/>
          <w:highlight w:val="none"/>
        </w:rPr>
        <w:t>温州银行“金鹿理财-臻享”</w:t>
      </w:r>
      <w:r>
        <w:rPr>
          <w:rFonts w:hint="eastAsia" w:ascii="黑体" w:eastAsia="黑体"/>
          <w:color w:val="000000"/>
          <w:sz w:val="30"/>
          <w:szCs w:val="30"/>
          <w:highlight w:val="none"/>
          <w:u w:val="single"/>
          <w:lang w:eastAsia="zh-CN"/>
        </w:rPr>
        <w:t>23026号</w:t>
      </w:r>
      <w:r>
        <w:rPr>
          <w:rFonts w:hint="eastAsia" w:ascii="黑体" w:eastAsia="黑体"/>
          <w:sz w:val="30"/>
          <w:szCs w:val="30"/>
          <w:highlight w:val="none"/>
        </w:rPr>
        <w:t>银行理财计划风险揭示书</w:t>
      </w:r>
    </w:p>
    <w:p>
      <w:pPr>
        <w:adjustRightInd w:val="0"/>
        <w:snapToGrid w:val="0"/>
        <w:spacing w:before="240" w:line="360" w:lineRule="auto"/>
        <w:rPr>
          <w:rFonts w:ascii="宋体" w:hAnsi="宋体"/>
          <w:b/>
          <w:szCs w:val="21"/>
          <w:highlight w:val="none"/>
        </w:rPr>
      </w:pPr>
      <w:r>
        <w:rPr>
          <w:rFonts w:hint="eastAsia" w:ascii="宋体" w:hAnsi="宋体"/>
          <w:b/>
          <w:szCs w:val="21"/>
          <w:highlight w:val="none"/>
        </w:rPr>
        <w:t>尊敬的客户：</w:t>
      </w:r>
    </w:p>
    <w:p>
      <w:pPr>
        <w:adjustRightInd w:val="0"/>
        <w:snapToGrid w:val="0"/>
        <w:spacing w:line="360" w:lineRule="auto"/>
        <w:ind w:firstLine="420"/>
        <w:rPr>
          <w:rFonts w:ascii="宋体" w:hAnsi="宋体"/>
          <w:szCs w:val="21"/>
          <w:highlight w:val="none"/>
        </w:rPr>
      </w:pPr>
      <w:r>
        <w:rPr>
          <w:rFonts w:hint="eastAsia"/>
          <w:b/>
          <w:szCs w:val="21"/>
          <w:highlight w:val="none"/>
        </w:rPr>
        <w:t>理财非存款、产品有风险、测算收益不等于实际收益、投资须谨慎</w:t>
      </w:r>
      <w:r>
        <w:rPr>
          <w:rFonts w:hint="eastAsia" w:ascii="宋体" w:hAnsi="宋体"/>
          <w:szCs w:val="21"/>
          <w:highlight w:val="none"/>
        </w:rPr>
        <w:t>，请在认购该理财产品前特别注意以下事项：</w:t>
      </w:r>
    </w:p>
    <w:p>
      <w:pPr>
        <w:adjustRightInd w:val="0"/>
        <w:snapToGrid w:val="0"/>
        <w:spacing w:line="360" w:lineRule="auto"/>
        <w:ind w:firstLine="420"/>
        <w:rPr>
          <w:rFonts w:ascii="宋体" w:hAnsi="宋体"/>
          <w:b/>
          <w:bCs/>
          <w:szCs w:val="21"/>
          <w:highlight w:val="none"/>
        </w:rPr>
      </w:pPr>
      <w:r>
        <w:rPr>
          <w:rFonts w:hint="eastAsia" w:ascii="宋体" w:hAnsi="宋体"/>
          <w:szCs w:val="21"/>
          <w:highlight w:val="none"/>
        </w:rPr>
        <w:t>一、</w:t>
      </w:r>
      <w:r>
        <w:rPr>
          <w:rFonts w:hint="eastAsia"/>
          <w:szCs w:val="21"/>
          <w:highlight w:val="none"/>
        </w:rPr>
        <w:t>您将认购的温州银行“金鹿理财</w:t>
      </w:r>
      <w:r>
        <w:rPr>
          <w:rFonts w:hint="eastAsia" w:ascii="宋体" w:hAnsi="宋体"/>
          <w:szCs w:val="21"/>
          <w:highlight w:val="none"/>
        </w:rPr>
        <w:t>-</w:t>
      </w:r>
      <w:r>
        <w:rPr>
          <w:rFonts w:hint="eastAsia"/>
          <w:szCs w:val="21"/>
          <w:highlight w:val="none"/>
        </w:rPr>
        <w:t>臻享”</w:t>
      </w:r>
      <w:r>
        <w:rPr>
          <w:rFonts w:hint="eastAsia"/>
          <w:color w:val="000000"/>
          <w:szCs w:val="21"/>
          <w:highlight w:val="none"/>
          <w:u w:val="single"/>
          <w:lang w:eastAsia="zh-CN"/>
        </w:rPr>
        <w:t>23026号</w:t>
      </w:r>
      <w:r>
        <w:rPr>
          <w:rFonts w:hint="eastAsia"/>
          <w:szCs w:val="21"/>
          <w:highlight w:val="none"/>
        </w:rPr>
        <w:t>银行理财计划，投资类型属于</w:t>
      </w:r>
      <w:r>
        <w:rPr>
          <w:rFonts w:hint="eastAsia"/>
          <w:szCs w:val="21"/>
          <w:highlight w:val="none"/>
          <w:u w:val="single"/>
        </w:rPr>
        <w:t>混合类理财产品</w:t>
      </w:r>
      <w:r>
        <w:rPr>
          <w:rFonts w:hint="eastAsia"/>
          <w:szCs w:val="21"/>
          <w:highlight w:val="none"/>
        </w:rPr>
        <w:t>，收益类型为</w:t>
      </w:r>
      <w:r>
        <w:rPr>
          <w:rFonts w:hint="eastAsia"/>
          <w:szCs w:val="21"/>
          <w:highlight w:val="none"/>
          <w:u w:val="single"/>
        </w:rPr>
        <w:t>非保本浮动收益型</w:t>
      </w:r>
      <w:r>
        <w:rPr>
          <w:rFonts w:hint="eastAsia"/>
          <w:szCs w:val="21"/>
          <w:highlight w:val="none"/>
        </w:rPr>
        <w:t>，运作模式为</w:t>
      </w:r>
      <w:r>
        <w:rPr>
          <w:rFonts w:hint="eastAsia"/>
          <w:szCs w:val="21"/>
          <w:highlight w:val="none"/>
          <w:u w:val="single"/>
        </w:rPr>
        <w:t>封闭式净值型</w:t>
      </w:r>
      <w:r>
        <w:rPr>
          <w:rFonts w:hint="eastAsia"/>
          <w:szCs w:val="21"/>
          <w:highlight w:val="none"/>
        </w:rPr>
        <w:t>，理财期限为</w:t>
      </w:r>
      <w:r>
        <w:rPr>
          <w:rFonts w:hint="eastAsia"/>
          <w:szCs w:val="21"/>
          <w:highlight w:val="none"/>
          <w:u w:val="single"/>
        </w:rPr>
        <w:t xml:space="preserve"> </w:t>
      </w:r>
      <w:r>
        <w:rPr>
          <w:rFonts w:hint="default"/>
          <w:color w:val="000000"/>
          <w:szCs w:val="21"/>
          <w:highlight w:val="none"/>
          <w:u w:val="single"/>
        </w:rPr>
        <w:t>601</w:t>
      </w:r>
      <w:r>
        <w:rPr>
          <w:rFonts w:hint="eastAsia"/>
          <w:szCs w:val="21"/>
          <w:highlight w:val="none"/>
          <w:u w:val="single"/>
        </w:rPr>
        <w:t xml:space="preserve"> </w:t>
      </w:r>
      <w:r>
        <w:rPr>
          <w:rFonts w:hint="eastAsia"/>
          <w:szCs w:val="21"/>
          <w:highlight w:val="none"/>
        </w:rPr>
        <w:t>天，本产品客户</w:t>
      </w:r>
      <w:r>
        <w:rPr>
          <w:rFonts w:hint="eastAsia"/>
          <w:szCs w:val="21"/>
          <w:highlight w:val="none"/>
          <w:u w:val="single"/>
        </w:rPr>
        <w:t>无提前</w:t>
      </w:r>
      <w:r>
        <w:rPr>
          <w:rFonts w:hint="eastAsia"/>
          <w:szCs w:val="21"/>
          <w:highlight w:val="none"/>
        </w:rPr>
        <w:t>赎回权。</w:t>
      </w:r>
      <w:r>
        <w:rPr>
          <w:rFonts w:hint="eastAsia"/>
          <w:b/>
          <w:szCs w:val="21"/>
          <w:highlight w:val="none"/>
        </w:rPr>
        <w:t>根据温</w:t>
      </w:r>
      <w:r>
        <w:rPr>
          <w:rFonts w:hint="eastAsia" w:ascii="宋体" w:hAnsi="宋体"/>
          <w:b/>
          <w:szCs w:val="21"/>
          <w:highlight w:val="none"/>
        </w:rPr>
        <w:t>州银行内部风险评级标准，该产品的风险等级为</w:t>
      </w:r>
      <w:r>
        <w:rPr>
          <w:rFonts w:hint="eastAsia" w:ascii="宋体" w:hAnsi="宋体"/>
          <w:b/>
          <w:szCs w:val="21"/>
          <w:highlight w:val="none"/>
          <w:u w:val="single"/>
        </w:rPr>
        <w:t>PR</w:t>
      </w:r>
      <w:r>
        <w:rPr>
          <w:rFonts w:ascii="宋体" w:hAnsi="宋体"/>
          <w:b/>
          <w:szCs w:val="21"/>
          <w:highlight w:val="none"/>
          <w:u w:val="single"/>
        </w:rPr>
        <w:t>2</w:t>
      </w:r>
      <w:r>
        <w:rPr>
          <w:rFonts w:hint="eastAsia" w:ascii="宋体" w:hAnsi="宋体"/>
          <w:b/>
          <w:szCs w:val="21"/>
          <w:highlight w:val="none"/>
          <w:u w:val="single"/>
        </w:rPr>
        <w:t>级</w:t>
      </w:r>
      <w:r>
        <w:rPr>
          <w:rFonts w:hint="eastAsia" w:ascii="宋体" w:hAnsi="宋体"/>
          <w:b/>
          <w:szCs w:val="21"/>
          <w:highlight w:val="none"/>
        </w:rPr>
        <w:t>（稳健型）：总体风险程度较低，银行不承诺本金保障但本金损失可能性很小，产品收益随投资表现变动。</w:t>
      </w:r>
      <w:r>
        <w:rPr>
          <w:rFonts w:hint="eastAsia" w:ascii="宋体" w:hAnsi="宋体"/>
          <w:szCs w:val="21"/>
          <w:highlight w:val="none"/>
        </w:rPr>
        <w:t>本理财产品适合客户：经温州银行评估为稳健型、平衡型、进取型、激进型的个人合格投资者。</w:t>
      </w:r>
      <w:r>
        <w:rPr>
          <w:rFonts w:hint="eastAsia" w:ascii="宋体" w:hAnsi="宋体"/>
          <w:b/>
          <w:bCs/>
          <w:szCs w:val="21"/>
          <w:highlight w:val="none"/>
        </w:rPr>
        <w:t>如影响您风险承受能力的因素发生变化，请在认购前及时重新完成风险承受能力评估。</w:t>
      </w:r>
    </w:p>
    <w:p>
      <w:pPr>
        <w:adjustRightInd w:val="0"/>
        <w:snapToGrid w:val="0"/>
        <w:spacing w:line="360" w:lineRule="auto"/>
        <w:ind w:firstLine="420"/>
        <w:rPr>
          <w:rFonts w:ascii="宋体" w:hAnsi="宋体"/>
          <w:szCs w:val="21"/>
          <w:highlight w:val="none"/>
        </w:rPr>
      </w:pPr>
      <w:r>
        <w:rPr>
          <w:rFonts w:hint="eastAsia" w:ascii="宋体" w:hAnsi="宋体"/>
          <w:szCs w:val="21"/>
          <w:highlight w:val="none"/>
        </w:rPr>
        <w:t>二、温州银行将按照理财合约和产品说明书等文件约定之条件进行理财资金的投资管理，在运作管理过程中，将可能存在管理风险、政策风险、市场风险、早偿风险、</w:t>
      </w:r>
      <w:r>
        <w:rPr>
          <w:rFonts w:ascii="宋体" w:hAnsi="宋体"/>
          <w:szCs w:val="21"/>
          <w:highlight w:val="none"/>
        </w:rPr>
        <w:t>信用风险</w:t>
      </w:r>
      <w:r>
        <w:rPr>
          <w:rFonts w:hint="eastAsia" w:ascii="宋体" w:hAnsi="宋体"/>
          <w:szCs w:val="21"/>
          <w:highlight w:val="none"/>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highlight w:val="none"/>
        </w:rPr>
      </w:pPr>
      <w:r>
        <w:rPr>
          <w:rFonts w:hint="eastAsia" w:ascii="宋体" w:hAnsi="宋体"/>
          <w:szCs w:val="21"/>
          <w:highlight w:val="none"/>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highlight w:val="none"/>
        </w:rPr>
      </w:pPr>
      <w:r>
        <w:rPr>
          <w:rFonts w:hint="eastAsia" w:ascii="宋体" w:hAnsi="宋体"/>
          <w:szCs w:val="21"/>
          <w:highlight w:val="none"/>
        </w:rPr>
        <w:t>三、在您签约购买本理财产品前，应当仔细阅读本风险揭示书、《温州银行“金鹿理财”银行理财计划合约》、《温州银行“金鹿理财-臻享”</w:t>
      </w:r>
      <w:r>
        <w:rPr>
          <w:rFonts w:hint="eastAsia" w:ascii="宋体"/>
          <w:color w:val="000000"/>
          <w:szCs w:val="21"/>
          <w:highlight w:val="none"/>
          <w:u w:val="single"/>
          <w:lang w:eastAsia="zh-CN"/>
        </w:rPr>
        <w:t>23026号</w:t>
      </w:r>
      <w:r>
        <w:rPr>
          <w:rFonts w:hint="eastAsia" w:ascii="宋体" w:hAnsi="宋体"/>
          <w:szCs w:val="21"/>
          <w:highlight w:val="none"/>
        </w:rPr>
        <w:t>银行理财计划产品说明书》和《</w:t>
      </w:r>
      <w:r>
        <w:rPr>
          <w:rFonts w:ascii="宋体" w:hAnsi="宋体"/>
          <w:szCs w:val="21"/>
          <w:highlight w:val="none"/>
        </w:rPr>
        <w:t>温州银行理财产品投资者权益须知</w:t>
      </w:r>
      <w:r>
        <w:rPr>
          <w:rFonts w:hint="eastAsia" w:ascii="宋体" w:hAnsi="宋体"/>
          <w:szCs w:val="21"/>
          <w:highlight w:val="none"/>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highlight w:val="none"/>
        </w:rPr>
      </w:pPr>
      <w:r>
        <w:rPr>
          <w:rFonts w:hint="eastAsia" w:ascii="宋体" w:hAnsi="宋体"/>
          <w:szCs w:val="21"/>
          <w:highlight w:val="none"/>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highlight w:val="none"/>
        </w:rPr>
      </w:pPr>
      <w:r>
        <w:rPr>
          <w:rFonts w:hint="eastAsia" w:ascii="宋体" w:hAnsi="宋体"/>
          <w:szCs w:val="21"/>
          <w:highlight w:val="none"/>
        </w:rPr>
        <w:t>风险揭示方：温州银行股份有限公司</w:t>
      </w:r>
    </w:p>
    <w:p>
      <w:pPr>
        <w:adjustRightInd w:val="0"/>
        <w:snapToGrid w:val="0"/>
        <w:spacing w:before="240" w:line="360" w:lineRule="auto"/>
        <w:jc w:val="center"/>
        <w:rPr>
          <w:rFonts w:ascii="宋体" w:hAnsi="宋体"/>
          <w:b/>
          <w:sz w:val="28"/>
          <w:szCs w:val="28"/>
          <w:highlight w:val="none"/>
        </w:rPr>
      </w:pPr>
      <w:r>
        <w:rPr>
          <w:rFonts w:hint="eastAsia" w:ascii="宋体" w:hAnsi="宋体"/>
          <w:b/>
          <w:sz w:val="28"/>
          <w:szCs w:val="28"/>
          <w:highlight w:val="none"/>
        </w:rPr>
        <w:t>客户确认栏</w:t>
      </w:r>
    </w:p>
    <w:p>
      <w:pPr>
        <w:adjustRightInd w:val="0"/>
        <w:snapToGrid w:val="0"/>
        <w:spacing w:line="360" w:lineRule="auto"/>
        <w:rPr>
          <w:b/>
          <w:szCs w:val="21"/>
          <w:highlight w:val="none"/>
        </w:rPr>
      </w:pPr>
      <w:r>
        <w:rPr>
          <w:rFonts w:hint="eastAsia"/>
          <w:b/>
          <w:szCs w:val="21"/>
          <w:highlight w:val="none"/>
        </w:rPr>
        <w:t>本人经温州银行评估的风险承受能力等级为（客户填写）：</w:t>
      </w:r>
    </w:p>
    <w:p>
      <w:pPr>
        <w:adjustRightInd w:val="0"/>
        <w:snapToGrid w:val="0"/>
        <w:spacing w:line="360" w:lineRule="auto"/>
        <w:ind w:firstLine="315" w:firstLineChars="150"/>
        <w:rPr>
          <w:rFonts w:ascii="宋体" w:hAnsi="宋体"/>
          <w:szCs w:val="21"/>
          <w:highlight w:val="none"/>
          <w:u w:val="single"/>
        </w:rPr>
      </w:pPr>
      <w:r>
        <w:rPr>
          <w:rFonts w:hint="eastAsia" w:ascii="宋体" w:hAnsi="宋体"/>
          <w:szCs w:val="21"/>
          <w:highlight w:val="none"/>
          <w:u w:val="single"/>
        </w:rPr>
        <w:t>□保守型           □稳健型           □平衡型           □进取型          □激进型</w:t>
      </w:r>
    </w:p>
    <w:p>
      <w:pPr>
        <w:adjustRightInd w:val="0"/>
        <w:snapToGrid w:val="0"/>
        <w:spacing w:line="360" w:lineRule="auto"/>
        <w:rPr>
          <w:rFonts w:ascii="宋体" w:hAnsi="宋体"/>
          <w:b/>
          <w:szCs w:val="21"/>
          <w:highlight w:val="none"/>
        </w:rPr>
      </w:pPr>
      <w:r>
        <w:rPr>
          <w:rFonts w:hint="eastAsia" w:ascii="宋体" w:hAnsi="宋体"/>
          <w:b/>
          <w:szCs w:val="21"/>
          <w:highlight w:val="none"/>
        </w:rPr>
        <w:t>本人同时确认如下：</w:t>
      </w:r>
      <w:r>
        <w:rPr>
          <w:rFonts w:hint="eastAsia" w:ascii="宋体" w:hAnsi="宋体"/>
          <w:b/>
          <w:szCs w:val="21"/>
          <w:highlight w:val="none"/>
          <w:u w:val="single"/>
        </w:rPr>
        <w:t xml:space="preserve">                                                                    </w:t>
      </w:r>
    </w:p>
    <w:p>
      <w:pPr>
        <w:adjustRightInd w:val="0"/>
        <w:snapToGrid w:val="0"/>
        <w:spacing w:line="360" w:lineRule="auto"/>
        <w:rPr>
          <w:b/>
          <w:szCs w:val="21"/>
          <w:highlight w:val="none"/>
        </w:rPr>
      </w:pPr>
      <w:r>
        <w:rPr>
          <w:rFonts w:hint="eastAsia"/>
          <w:b/>
          <w:szCs w:val="21"/>
          <w:highlight w:val="none"/>
          <w:u w:val="single"/>
        </w:rPr>
        <w:t xml:space="preserve">                                                                                 </w:t>
      </w:r>
      <w:r>
        <w:rPr>
          <w:rFonts w:hint="eastAsia"/>
          <w:szCs w:val="21"/>
          <w:highlight w:val="none"/>
        </w:rPr>
        <w:t>。</w:t>
      </w:r>
    </w:p>
    <w:p>
      <w:pPr>
        <w:adjustRightInd w:val="0"/>
        <w:snapToGrid w:val="0"/>
        <w:spacing w:line="360" w:lineRule="auto"/>
        <w:rPr>
          <w:szCs w:val="21"/>
          <w:highlight w:val="none"/>
        </w:rPr>
      </w:pPr>
      <w:r>
        <w:rPr>
          <w:rFonts w:hint="eastAsia"/>
          <w:szCs w:val="21"/>
          <w:highlight w:val="none"/>
        </w:rPr>
        <w:t>（客户需全文抄录以下文字以完成确认：“</w:t>
      </w:r>
      <w:r>
        <w:rPr>
          <w:rFonts w:hint="eastAsia"/>
          <w:b/>
          <w:szCs w:val="21"/>
          <w:highlight w:val="none"/>
        </w:rPr>
        <w:t>本人已经阅读上述风险提示，愿意承担投资风险</w:t>
      </w:r>
      <w:r>
        <w:rPr>
          <w:rFonts w:hint="eastAsia"/>
          <w:szCs w:val="21"/>
          <w:highlight w:val="none"/>
        </w:rPr>
        <w:t>”。）</w:t>
      </w:r>
    </w:p>
    <w:p>
      <w:pPr>
        <w:adjustRightInd w:val="0"/>
        <w:snapToGrid w:val="0"/>
        <w:spacing w:line="360" w:lineRule="auto"/>
        <w:rPr>
          <w:b/>
          <w:szCs w:val="21"/>
          <w:highlight w:val="none"/>
          <w:u w:val="single"/>
        </w:rPr>
      </w:pPr>
    </w:p>
    <w:p>
      <w:pPr>
        <w:adjustRightInd w:val="0"/>
        <w:snapToGrid w:val="0"/>
        <w:spacing w:line="360" w:lineRule="auto"/>
        <w:ind w:firstLine="840" w:firstLineChars="400"/>
        <w:rPr>
          <w:rFonts w:ascii="宋体" w:hAnsi="宋体"/>
          <w:szCs w:val="21"/>
          <w:highlight w:val="none"/>
        </w:rPr>
      </w:pPr>
      <w:r>
        <w:rPr>
          <w:rFonts w:hint="eastAsia" w:ascii="宋体" w:hAnsi="宋体"/>
          <w:szCs w:val="21"/>
          <w:highlight w:val="none"/>
        </w:rPr>
        <w:t>确认人（签字）：                               日期：</w:t>
      </w:r>
      <w:r>
        <w:rPr>
          <w:rFonts w:hint="eastAsia" w:ascii="宋体" w:hAnsi="宋体"/>
          <w:szCs w:val="21"/>
          <w:highlight w:val="none"/>
          <w:u w:val="single"/>
        </w:rPr>
        <w:t xml:space="preserve">        </w:t>
      </w:r>
      <w:r>
        <w:rPr>
          <w:rFonts w:hint="eastAsia" w:ascii="宋体" w:hAnsi="宋体"/>
          <w:szCs w:val="21"/>
          <w:highlight w:val="none"/>
        </w:rPr>
        <w:t>年</w:t>
      </w:r>
      <w:r>
        <w:rPr>
          <w:rFonts w:hint="eastAsia" w:ascii="宋体" w:hAnsi="宋体"/>
          <w:szCs w:val="21"/>
          <w:highlight w:val="none"/>
          <w:u w:val="single"/>
        </w:rPr>
        <w:t xml:space="preserve">    </w:t>
      </w:r>
      <w:r>
        <w:rPr>
          <w:rFonts w:hint="eastAsia" w:ascii="宋体" w:hAnsi="宋体"/>
          <w:szCs w:val="21"/>
          <w:highlight w:val="none"/>
        </w:rPr>
        <w:t>月</w:t>
      </w:r>
      <w:r>
        <w:rPr>
          <w:rFonts w:hint="eastAsia" w:ascii="宋体" w:hAnsi="宋体"/>
          <w:szCs w:val="21"/>
          <w:highlight w:val="none"/>
          <w:u w:val="single"/>
        </w:rPr>
        <w:t xml:space="preserve">    </w:t>
      </w:r>
      <w:r>
        <w:rPr>
          <w:rFonts w:hint="eastAsia" w:ascii="宋体" w:hAnsi="宋体"/>
          <w:szCs w:val="21"/>
          <w:highlight w:val="none"/>
        </w:rPr>
        <w:t>日</w:t>
      </w:r>
    </w:p>
    <w:p>
      <w:pPr>
        <w:pStyle w:val="12"/>
        <w:adjustRightInd w:val="0"/>
        <w:snapToGrid w:val="0"/>
        <w:spacing w:before="0" w:beforeAutospacing="0" w:after="0" w:afterAutospacing="0" w:line="360" w:lineRule="auto"/>
        <w:jc w:val="center"/>
        <w:rPr>
          <w:rFonts w:hint="eastAsia" w:ascii="黑体" w:eastAsia="黑体"/>
          <w:bCs/>
          <w:sz w:val="30"/>
          <w:szCs w:val="30"/>
          <w:highlight w:val="none"/>
          <w:u w:val="single"/>
          <w:lang w:eastAsia="zh-CN"/>
        </w:rPr>
      </w:pPr>
      <w:r>
        <w:rPr>
          <w:rFonts w:hint="eastAsia" w:ascii="黑体" w:eastAsia="黑体"/>
          <w:bCs/>
          <w:sz w:val="30"/>
          <w:szCs w:val="30"/>
          <w:highlight w:val="none"/>
        </w:rPr>
        <w:t>温州银行“金鹿理财-臻享”</w:t>
      </w:r>
      <w:r>
        <w:rPr>
          <w:rFonts w:hint="eastAsia" w:ascii="黑体" w:eastAsia="黑体"/>
          <w:bCs/>
          <w:color w:val="000000"/>
          <w:sz w:val="30"/>
          <w:szCs w:val="30"/>
          <w:highlight w:val="none"/>
          <w:u w:val="single"/>
          <w:lang w:eastAsia="zh-CN"/>
        </w:rPr>
        <w:t>23026号</w:t>
      </w:r>
    </w:p>
    <w:p>
      <w:pPr>
        <w:pStyle w:val="12"/>
        <w:adjustRightInd w:val="0"/>
        <w:snapToGrid w:val="0"/>
        <w:spacing w:before="0" w:beforeAutospacing="0" w:after="0" w:afterAutospacing="0" w:line="360" w:lineRule="auto"/>
        <w:jc w:val="center"/>
        <w:rPr>
          <w:rFonts w:ascii="黑体" w:eastAsia="黑体"/>
          <w:bCs/>
          <w:sz w:val="30"/>
          <w:szCs w:val="30"/>
          <w:highlight w:val="none"/>
        </w:rPr>
      </w:pPr>
      <w:r>
        <w:rPr>
          <w:rFonts w:hint="eastAsia" w:ascii="黑体" w:eastAsia="黑体"/>
          <w:bCs/>
          <w:sz w:val="30"/>
          <w:szCs w:val="30"/>
          <w:highlight w:val="none"/>
        </w:rPr>
        <w:t>银行理财计划产品说明书</w:t>
      </w:r>
    </w:p>
    <w:p>
      <w:pPr>
        <w:adjustRightInd w:val="0"/>
        <w:snapToGrid w:val="0"/>
        <w:spacing w:before="120" w:line="300" w:lineRule="auto"/>
        <w:rPr>
          <w:b/>
          <w:sz w:val="18"/>
          <w:szCs w:val="18"/>
          <w:highlight w:val="none"/>
        </w:rPr>
      </w:pPr>
      <w:r>
        <w:rPr>
          <w:rFonts w:hint="eastAsia"/>
          <w:b/>
          <w:sz w:val="18"/>
          <w:szCs w:val="18"/>
          <w:highlight w:val="none"/>
        </w:rPr>
        <w:t>重要须知</w:t>
      </w:r>
    </w:p>
    <w:p>
      <w:pPr>
        <w:adjustRightInd w:val="0"/>
        <w:snapToGrid w:val="0"/>
        <w:spacing w:line="300" w:lineRule="auto"/>
        <w:rPr>
          <w:sz w:val="18"/>
          <w:szCs w:val="18"/>
          <w:highlight w:val="none"/>
        </w:rPr>
      </w:pPr>
      <w:r>
        <w:rPr>
          <w:rFonts w:hint="eastAsia"/>
          <w:sz w:val="18"/>
          <w:szCs w:val="18"/>
          <w:highlight w:val="none"/>
        </w:rPr>
        <w:t>本产品与银行存款存在明显区别，具有一定的风险。</w:t>
      </w:r>
    </w:p>
    <w:p>
      <w:pPr>
        <w:adjustRightInd w:val="0"/>
        <w:snapToGrid w:val="0"/>
        <w:spacing w:line="300" w:lineRule="auto"/>
        <w:rPr>
          <w:sz w:val="18"/>
          <w:szCs w:val="18"/>
          <w:highlight w:val="none"/>
        </w:rPr>
      </w:pPr>
      <w:r>
        <w:rPr>
          <w:rFonts w:hint="eastAsia"/>
          <w:sz w:val="18"/>
          <w:szCs w:val="18"/>
          <w:highlight w:val="none"/>
        </w:rPr>
        <w:t>本产品适合于合格投资者。</w:t>
      </w:r>
    </w:p>
    <w:p>
      <w:pPr>
        <w:adjustRightInd w:val="0"/>
        <w:snapToGrid w:val="0"/>
        <w:spacing w:line="300" w:lineRule="auto"/>
        <w:rPr>
          <w:rFonts w:hint="eastAsia"/>
          <w:b/>
          <w:sz w:val="18"/>
          <w:szCs w:val="18"/>
          <w:highlight w:val="none"/>
        </w:rPr>
      </w:pPr>
      <w:r>
        <w:rPr>
          <w:b/>
          <w:sz w:val="18"/>
          <w:szCs w:val="18"/>
          <w:highlight w:val="none"/>
        </w:rPr>
        <w:t xml:space="preserve">*** </w:t>
      </w:r>
      <w:r>
        <w:rPr>
          <w:rFonts w:hint="eastAsia"/>
          <w:b/>
          <w:sz w:val="18"/>
          <w:szCs w:val="18"/>
          <w:highlight w:val="none"/>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highlight w:val="none"/>
        </w:rPr>
      </w:pPr>
      <w:r>
        <w:rPr>
          <w:rFonts w:hint="eastAsia"/>
          <w:b/>
          <w:sz w:val="18"/>
          <w:szCs w:val="18"/>
          <w:highlight w:val="none"/>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highlight w:val="none"/>
        </w:rPr>
      </w:pPr>
      <w:r>
        <w:rPr>
          <w:rFonts w:hint="eastAsia"/>
          <w:sz w:val="18"/>
          <w:szCs w:val="18"/>
          <w:highlight w:val="none"/>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highlight w:val="none"/>
        </w:rPr>
      </w:pPr>
      <w:r>
        <w:rPr>
          <w:rFonts w:hint="eastAsia"/>
          <w:sz w:val="18"/>
          <w:szCs w:val="18"/>
          <w:highlight w:val="none"/>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highlight w:val="none"/>
        </w:rPr>
        <w:t>0577-96699</w:t>
      </w:r>
      <w:r>
        <w:rPr>
          <w:rFonts w:hint="eastAsia"/>
          <w:sz w:val="18"/>
          <w:szCs w:val="18"/>
          <w:highlight w:val="none"/>
        </w:rPr>
        <w:t>）。</w:t>
      </w:r>
    </w:p>
    <w:p>
      <w:pPr>
        <w:adjustRightInd w:val="0"/>
        <w:snapToGrid w:val="0"/>
        <w:spacing w:line="300" w:lineRule="auto"/>
        <w:rPr>
          <w:b/>
          <w:sz w:val="18"/>
          <w:szCs w:val="18"/>
          <w:highlight w:val="none"/>
        </w:rPr>
      </w:pPr>
      <w:r>
        <w:rPr>
          <w:rFonts w:hint="eastAsia"/>
          <w:b/>
          <w:sz w:val="18"/>
          <w:szCs w:val="18"/>
          <w:highlight w:val="none"/>
        </w:rPr>
        <w:t>释义</w:t>
      </w:r>
    </w:p>
    <w:p>
      <w:pPr>
        <w:adjustRightInd w:val="0"/>
        <w:snapToGrid w:val="0"/>
        <w:spacing w:line="300" w:lineRule="auto"/>
        <w:rPr>
          <w:sz w:val="18"/>
          <w:szCs w:val="18"/>
          <w:highlight w:val="none"/>
        </w:rPr>
      </w:pPr>
      <w:r>
        <w:rPr>
          <w:rFonts w:hint="eastAsia"/>
          <w:sz w:val="18"/>
          <w:szCs w:val="18"/>
          <w:highlight w:val="none"/>
        </w:rPr>
        <w:t>本说明书中，除非另有明确说明，否则下列词语或简称具有如下含义：</w:t>
      </w:r>
    </w:p>
    <w:p>
      <w:pPr>
        <w:adjustRightInd w:val="0"/>
        <w:snapToGrid w:val="0"/>
        <w:spacing w:line="300" w:lineRule="auto"/>
        <w:rPr>
          <w:sz w:val="18"/>
          <w:szCs w:val="18"/>
          <w:highlight w:val="none"/>
        </w:rPr>
      </w:pPr>
      <w:r>
        <w:rPr>
          <w:rFonts w:hint="eastAsia"/>
          <w:sz w:val="18"/>
          <w:szCs w:val="18"/>
          <w:highlight w:val="none"/>
        </w:rPr>
        <w:t>产品：指“金鹿理财</w:t>
      </w:r>
      <w:r>
        <w:rPr>
          <w:rFonts w:hint="eastAsia" w:ascii="宋体" w:hAnsi="宋体"/>
          <w:sz w:val="18"/>
          <w:szCs w:val="18"/>
          <w:highlight w:val="none"/>
        </w:rPr>
        <w:t>-</w:t>
      </w:r>
      <w:r>
        <w:rPr>
          <w:rFonts w:hint="eastAsia"/>
          <w:sz w:val="18"/>
          <w:szCs w:val="18"/>
          <w:highlight w:val="none"/>
        </w:rPr>
        <w:t>臻享”</w:t>
      </w:r>
      <w:r>
        <w:rPr>
          <w:rFonts w:hint="eastAsia"/>
          <w:color w:val="000000"/>
          <w:sz w:val="18"/>
          <w:szCs w:val="18"/>
          <w:highlight w:val="none"/>
          <w:lang w:eastAsia="zh-CN"/>
        </w:rPr>
        <w:t>23026号</w:t>
      </w:r>
      <w:r>
        <w:rPr>
          <w:rFonts w:hint="eastAsia"/>
          <w:sz w:val="18"/>
          <w:szCs w:val="18"/>
          <w:highlight w:val="none"/>
        </w:rPr>
        <w:t>银行理财计划</w:t>
      </w:r>
    </w:p>
    <w:p>
      <w:pPr>
        <w:adjustRightInd w:val="0"/>
        <w:snapToGrid w:val="0"/>
        <w:spacing w:line="300" w:lineRule="auto"/>
        <w:rPr>
          <w:sz w:val="18"/>
          <w:szCs w:val="18"/>
          <w:highlight w:val="none"/>
        </w:rPr>
      </w:pPr>
      <w:r>
        <w:rPr>
          <w:rFonts w:hint="eastAsia"/>
          <w:sz w:val="18"/>
          <w:szCs w:val="18"/>
          <w:highlight w:val="none"/>
        </w:rPr>
        <w:t>发行银行：指温州银行股份有限公司</w:t>
      </w:r>
    </w:p>
    <w:p>
      <w:pPr>
        <w:adjustRightInd w:val="0"/>
        <w:snapToGrid w:val="0"/>
        <w:spacing w:line="300" w:lineRule="auto"/>
        <w:rPr>
          <w:sz w:val="18"/>
          <w:szCs w:val="18"/>
          <w:highlight w:val="none"/>
        </w:rPr>
      </w:pPr>
      <w:r>
        <w:rPr>
          <w:rFonts w:hint="eastAsia"/>
          <w:sz w:val="18"/>
          <w:szCs w:val="18"/>
          <w:highlight w:val="none"/>
        </w:rPr>
        <w:t>产品托管人：具有证券投资基金托管业务资格的商业银行</w:t>
      </w:r>
    </w:p>
    <w:p>
      <w:pPr>
        <w:adjustRightInd w:val="0"/>
        <w:snapToGrid w:val="0"/>
        <w:spacing w:line="300" w:lineRule="auto"/>
        <w:rPr>
          <w:sz w:val="18"/>
          <w:szCs w:val="18"/>
          <w:highlight w:val="none"/>
        </w:rPr>
      </w:pPr>
      <w:r>
        <w:rPr>
          <w:rFonts w:hint="eastAsia"/>
          <w:sz w:val="18"/>
          <w:szCs w:val="18"/>
          <w:highlight w:val="none"/>
        </w:rPr>
        <w:t>销售银行：指直销银行和代销银行。直销银行指温州银行股份有限公司。本产品无代销银行。</w:t>
      </w:r>
    </w:p>
    <w:p>
      <w:pPr>
        <w:widowControl/>
        <w:adjustRightInd w:val="0"/>
        <w:snapToGrid w:val="0"/>
        <w:spacing w:line="300" w:lineRule="auto"/>
        <w:outlineLvl w:val="0"/>
        <w:rPr>
          <w:b/>
          <w:sz w:val="18"/>
          <w:szCs w:val="18"/>
          <w:highlight w:val="none"/>
        </w:rPr>
      </w:pPr>
      <w:r>
        <w:rPr>
          <w:rFonts w:hint="eastAsia"/>
          <w:b/>
          <w:sz w:val="18"/>
          <w:szCs w:val="18"/>
          <w:highlight w:val="none"/>
        </w:rPr>
        <w:t>产品风险评级：PR</w:t>
      </w:r>
      <w:r>
        <w:rPr>
          <w:b/>
          <w:sz w:val="18"/>
          <w:szCs w:val="18"/>
          <w:highlight w:val="none"/>
        </w:rPr>
        <w:t>2</w:t>
      </w:r>
    </w:p>
    <w:p>
      <w:pPr>
        <w:widowControl/>
        <w:adjustRightInd w:val="0"/>
        <w:snapToGrid w:val="0"/>
        <w:spacing w:line="300" w:lineRule="auto"/>
        <w:outlineLvl w:val="0"/>
        <w:rPr>
          <w:b/>
          <w:sz w:val="18"/>
          <w:szCs w:val="18"/>
          <w:highlight w:val="none"/>
        </w:rPr>
      </w:pPr>
    </w:p>
    <w:tbl>
      <w:tblPr>
        <w:tblStyle w:val="7"/>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rFonts w:ascii="Times New Roman" w:hAnsi="Times New Roman"/>
                <w:b/>
                <w:sz w:val="18"/>
                <w:szCs w:val="18"/>
                <w:highlight w:val="none"/>
              </w:rPr>
            </w:pPr>
            <w:r>
              <w:rPr>
                <w:rFonts w:hint="eastAsia" w:ascii="Times New Roman" w:hAnsi="Times New Roman"/>
                <w:b/>
                <w:sz w:val="18"/>
                <w:szCs w:val="18"/>
                <w:highlight w:val="none"/>
              </w:rPr>
              <w:t>PR5</w:t>
            </w:r>
          </w:p>
        </w:tc>
        <w:tc>
          <w:tcPr>
            <w:tcW w:w="1418" w:type="dxa"/>
            <w:noWrap w:val="0"/>
            <w:vAlign w:val="center"/>
          </w:tcPr>
          <w:p>
            <w:pPr>
              <w:widowControl/>
              <w:adjustRightInd w:val="0"/>
              <w:snapToGrid w:val="0"/>
              <w:spacing w:line="300" w:lineRule="auto"/>
              <w:outlineLvl w:val="0"/>
              <w:rPr>
                <w:rFonts w:ascii="Times New Roman" w:hAnsi="Times New Roman"/>
                <w:b/>
                <w:sz w:val="18"/>
                <w:szCs w:val="18"/>
                <w:highlight w:val="none"/>
              </w:rPr>
            </w:pPr>
            <w:r>
              <w:rPr>
                <w:rFonts w:hint="eastAsia" w:ascii="Times New Roman" w:hAnsi="Times New Roman"/>
                <w:b/>
                <w:sz w:val="18"/>
                <w:szCs w:val="18"/>
                <w:highlight w:val="none"/>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noWrap w:val="0"/>
            <w:vAlign w:val="center"/>
          </w:tcPr>
          <w:p>
            <w:pPr>
              <w:widowControl/>
              <w:adjustRightInd w:val="0"/>
              <w:snapToGrid w:val="0"/>
              <w:spacing w:line="300" w:lineRule="auto"/>
              <w:outlineLvl w:val="0"/>
              <w:rPr>
                <w:rFonts w:ascii="Times New Roman" w:hAnsi="Times New Roman"/>
                <w:b/>
                <w:sz w:val="18"/>
                <w:szCs w:val="18"/>
                <w:highlight w:val="none"/>
              </w:rPr>
            </w:pPr>
            <w:r>
              <w:rPr>
                <w:rFonts w:hint="eastAsia" w:ascii="Times New Roman" w:hAnsi="Times New Roman"/>
                <w:b/>
                <w:sz w:val="18"/>
                <w:szCs w:val="18"/>
                <w:highlight w:val="none"/>
              </w:rPr>
              <w:t>PR4</w:t>
            </w:r>
          </w:p>
        </w:tc>
        <w:tc>
          <w:tcPr>
            <w:tcW w:w="1418" w:type="dxa"/>
            <w:noWrap w:val="0"/>
            <w:vAlign w:val="center"/>
          </w:tcPr>
          <w:p>
            <w:pPr>
              <w:widowControl/>
              <w:adjustRightInd w:val="0"/>
              <w:snapToGrid w:val="0"/>
              <w:spacing w:line="300" w:lineRule="auto"/>
              <w:outlineLvl w:val="0"/>
              <w:rPr>
                <w:rFonts w:ascii="Times New Roman" w:hAnsi="Times New Roman"/>
                <w:b/>
                <w:sz w:val="18"/>
                <w:szCs w:val="18"/>
                <w:highlight w:val="none"/>
              </w:rPr>
            </w:pPr>
            <w:r>
              <w:rPr>
                <w:rFonts w:hint="eastAsia" w:ascii="Times New Roman" w:hAnsi="Times New Roman"/>
                <w:b/>
                <w:sz w:val="18"/>
                <w:szCs w:val="18"/>
                <w:highlight w:val="none"/>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rFonts w:ascii="Times New Roman" w:hAnsi="Times New Roman"/>
                <w:b/>
                <w:sz w:val="18"/>
                <w:szCs w:val="18"/>
                <w:highlight w:val="none"/>
              </w:rPr>
            </w:pPr>
            <w:r>
              <w:rPr>
                <w:rFonts w:hint="eastAsia" w:ascii="Times New Roman" w:hAnsi="Times New Roman"/>
                <w:b/>
                <w:sz w:val="18"/>
                <w:szCs w:val="18"/>
                <w:highlight w:val="none"/>
              </w:rPr>
              <w:t>PR3</w:t>
            </w:r>
          </w:p>
        </w:tc>
        <w:tc>
          <w:tcPr>
            <w:tcW w:w="1418" w:type="dxa"/>
            <w:noWrap w:val="0"/>
            <w:vAlign w:val="center"/>
          </w:tcPr>
          <w:p>
            <w:pPr>
              <w:widowControl/>
              <w:adjustRightInd w:val="0"/>
              <w:snapToGrid w:val="0"/>
              <w:spacing w:line="300" w:lineRule="auto"/>
              <w:outlineLvl w:val="0"/>
              <w:rPr>
                <w:rFonts w:ascii="Times New Roman" w:hAnsi="Times New Roman"/>
                <w:b/>
                <w:sz w:val="18"/>
                <w:szCs w:val="18"/>
                <w:highlight w:val="none"/>
              </w:rPr>
            </w:pPr>
            <w:r>
              <w:rPr>
                <w:rFonts w:hint="eastAsia" w:ascii="Times New Roman" w:hAnsi="Times New Roman"/>
                <w:b/>
                <w:sz w:val="18"/>
                <w:szCs w:val="18"/>
                <w:highlight w:val="none"/>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rFonts w:ascii="Times New Roman" w:hAnsi="Times New Roman"/>
                <w:b/>
                <w:sz w:val="18"/>
                <w:szCs w:val="18"/>
                <w:highlight w:val="none"/>
              </w:rPr>
            </w:pPr>
            <w:r>
              <w:rPr>
                <w:rFonts w:hint="eastAsia" w:ascii="Times New Roman" w:hAnsi="Times New Roman"/>
                <w:b/>
                <w:sz w:val="18"/>
                <w:szCs w:val="18"/>
                <w:highlight w:val="none"/>
              </w:rPr>
              <w:t>PR2</w:t>
            </w:r>
          </w:p>
        </w:tc>
        <w:tc>
          <w:tcPr>
            <w:tcW w:w="1418" w:type="dxa"/>
            <w:noWrap w:val="0"/>
            <w:vAlign w:val="center"/>
          </w:tcPr>
          <w:p>
            <w:pPr>
              <w:widowControl/>
              <w:adjustRightInd w:val="0"/>
              <w:snapToGrid w:val="0"/>
              <w:spacing w:line="300" w:lineRule="auto"/>
              <w:outlineLvl w:val="0"/>
              <w:rPr>
                <w:rFonts w:ascii="Times New Roman" w:hAnsi="Times New Roman"/>
                <w:b/>
                <w:sz w:val="18"/>
                <w:szCs w:val="18"/>
                <w:highlight w:val="none"/>
              </w:rPr>
            </w:pPr>
            <w:r>
              <w:rPr>
                <w:rFonts w:hint="eastAsia" w:ascii="Times New Roman" w:hAnsi="Times New Roman"/>
                <w:b/>
                <w:sz w:val="18"/>
                <w:szCs w:val="18"/>
                <w:highlight w:val="none"/>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noWrap w:val="0"/>
            <w:vAlign w:val="center"/>
          </w:tcPr>
          <w:p>
            <w:pPr>
              <w:widowControl/>
              <w:adjustRightInd w:val="0"/>
              <w:snapToGrid w:val="0"/>
              <w:spacing w:line="300" w:lineRule="auto"/>
              <w:outlineLvl w:val="0"/>
              <w:rPr>
                <w:rFonts w:ascii="Times New Roman" w:hAnsi="Times New Roman"/>
                <w:b/>
                <w:sz w:val="18"/>
                <w:szCs w:val="18"/>
                <w:highlight w:val="none"/>
              </w:rPr>
            </w:pPr>
            <w:r>
              <w:rPr>
                <w:rFonts w:hint="eastAsia" w:ascii="Times New Roman" w:hAnsi="Times New Roman"/>
                <w:b/>
                <w:sz w:val="18"/>
                <w:szCs w:val="18"/>
                <w:highlight w:val="none"/>
              </w:rPr>
              <w:t>PR1</w:t>
            </w:r>
          </w:p>
        </w:tc>
        <w:tc>
          <w:tcPr>
            <w:tcW w:w="1418" w:type="dxa"/>
            <w:noWrap w:val="0"/>
            <w:vAlign w:val="center"/>
          </w:tcPr>
          <w:p>
            <w:pPr>
              <w:widowControl/>
              <w:adjustRightInd w:val="0"/>
              <w:snapToGrid w:val="0"/>
              <w:spacing w:line="300" w:lineRule="auto"/>
              <w:outlineLvl w:val="0"/>
              <w:rPr>
                <w:rFonts w:ascii="Times New Roman" w:hAnsi="Times New Roman"/>
                <w:b/>
                <w:sz w:val="18"/>
                <w:szCs w:val="18"/>
                <w:highlight w:val="none"/>
              </w:rPr>
            </w:pPr>
            <w:r>
              <w:rPr>
                <w:rFonts w:hint="eastAsia" w:ascii="Times New Roman" w:hAnsi="Times New Roman"/>
                <w:b/>
                <w:sz w:val="18"/>
                <w:szCs w:val="18"/>
                <w:highlight w:val="none"/>
              </w:rPr>
              <w:t>谨慎型产品</w:t>
            </w:r>
          </w:p>
        </w:tc>
      </w:tr>
    </w:tbl>
    <w:p>
      <w:pPr>
        <w:widowControl/>
        <w:adjustRightInd w:val="0"/>
        <w:snapToGrid w:val="0"/>
        <w:spacing w:line="300" w:lineRule="auto"/>
        <w:outlineLvl w:val="0"/>
        <w:rPr>
          <w:b/>
          <w:sz w:val="18"/>
          <w:szCs w:val="18"/>
          <w:highlight w:val="none"/>
        </w:rPr>
      </w:pPr>
      <w:r>
        <w:rPr>
          <w:b/>
          <w:sz w:val="18"/>
          <w:szCs w:val="18"/>
          <w:highlight w:val="none"/>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highlight w:val="none"/>
        </w:rPr>
        <mc:AlternateContent>
          <mc:Choice Requires="wpc">
            <w:drawing>
              <wp:inline distT="0" distB="0" distL="114300" distR="114300">
                <wp:extent cx="3929380" cy="1896110"/>
                <wp:effectExtent l="0" t="0" r="7620" b="8890"/>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235"/>
                            <a:ext cx="3463290" cy="635"/>
                          </a:xfrm>
                          <a:prstGeom prst="line">
                            <a:avLst/>
                          </a:prstGeom>
                          <a:ln w="9525" cap="flat" cmpd="sng">
                            <a:solidFill>
                              <a:srgbClr val="000000"/>
                            </a:solidFill>
                            <a:prstDash val="solid"/>
                            <a:headEnd type="none" w="med" len="med"/>
                            <a:tailEnd type="triangle" w="med" len="med"/>
                          </a:ln>
                          <a:effectLst/>
                        </wps:spPr>
                        <wps:bodyPr upright="1"/>
                      </wps:wsp>
                      <wps:wsp>
                        <wps:cNvPr id="2" name="直线 17"/>
                        <wps:cNvCnPr/>
                        <wps:spPr>
                          <a:xfrm flipV="1">
                            <a:off x="389890" y="0"/>
                            <a:ext cx="635" cy="1863725"/>
                          </a:xfrm>
                          <a:prstGeom prst="line">
                            <a:avLst/>
                          </a:prstGeom>
                          <a:ln w="9525" cap="flat" cmpd="sng">
                            <a:solidFill>
                              <a:srgbClr val="000000"/>
                            </a:solidFill>
                            <a:prstDash val="solid"/>
                            <a:headEnd type="none" w="med" len="med"/>
                            <a:tailEnd type="triangle" w="med" len="med"/>
                          </a:ln>
                          <a:effectLst/>
                        </wps:spPr>
                        <wps:bodyPr upright="1"/>
                      </wps:wsp>
                      <wps:wsp>
                        <wps:cNvPr id="3" name="矩形 18"/>
                        <wps:cNvSpPr/>
                        <wps:spPr>
                          <a:xfrm>
                            <a:off x="503555" y="1229995"/>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2815"/>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5635"/>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8455"/>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275"/>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000"/>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pt;width:309.4pt;" coordsize="3929380,1896110" editas="canvas" o:gfxdata="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">
                <o:lock v:ext="edit" aspectratio="f"/>
                <v:shape id="画布 14" o:spid="_x0000_s1026" style="position:absolute;left:0;top:0;height:1896110;width:3929380;" filled="f" stroked="f" coordsize="21600,21600" o:gfxdata="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">
                  <v:fill on="f" focussize="0,0"/>
                  <v:stroke on="f"/>
                  <v:imagedata o:title=""/>
                  <o:lock v:ext="edit" aspectratio="t"/>
                </v:shape>
                <v:line id="直线 16" o:spid="_x0000_s1026" o:spt="20" style="position:absolute;left:161290;top:1626235;height:635;width:3463290;" filled="f" stroked="t" coordsize="21600,21600" o:gfxdata="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fYhyK9YAAAAFAQAADwAAAAAAAAABACAAAAAiAAAAZHJzL2Rvd25y&#10;ZXYueG1sUEsBAhQAFAAAAAgAh07iQOU4Mb0AAgAA+wMAAA4AAAAAAAAAAQAgAAAAJQEAAGRycy9l&#10;Mm9Eb2MueG1sUEsFBgAAAAAGAAYAWQEAAJcFAAAAAA==&#10;">
                  <v:fill on="f" focussize="0,0"/>
                  <v:stroke color="#000000" joinstyle="round" endarrow="block"/>
                  <v:imagedata o:title=""/>
                  <o:lock v:ext="edit" aspectratio="f"/>
                </v:line>
                <v:line id="直线 17" o:spid="_x0000_s1026" o:spt="20" style="position:absolute;left:389890;top:0;flip:y;height:1863725;width:635;" filled="f" stroked="t" coordsize="21600,21600" o:gfxdata="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teDneNYAAAAFAQAADwAAAAAAAAABACAAAAAiAAAAZHJzL2Rv&#10;d25yZXYueG1sUEsBAhQAFAAAAAgAh07iQL5zZ1EDAgAA/wMAAA4AAAAAAAAAAQAgAAAAJQEAAGRy&#10;cy9lMm9Eb2MueG1sUEsFBgAAAAAGAAYAWQEAAJoFAAAAAA==&#10;">
                  <v:fill on="f" focussize="0,0"/>
                  <v:stroke color="#000000" joinstyle="round" endarrow="block"/>
                  <v:imagedata o:title=""/>
                  <o:lock v:ext="edit" aspectratio="f"/>
                </v:line>
                <v:rect id="矩形 18" o:spid="_x0000_s1026" o:spt="1" style="position:absolute;left:503555;top:1229995;height:297180;width:509905;" fillcolor="#FFFFFF" filled="t" stroked="t" coordsize="21600,21600" o:gfxdata="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DWY9eHUAAAABQEAAA8A&#10;AAAAAAAAAQAgAAAAIgAAAGRycy9kb3ducmV2LnhtbFBLAQIUABQAAAAIAIdO4kCVKqitGwIAAFAE&#10;AAAOAAAAAAAAAAEAIAAAACM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2815;height:297180;width:513080;" fillcolor="#FFFF00" filled="t" stroked="t" coordsize="21600,21600" o:gfxdata="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AGds7t1gAAAAUB&#10;AAAPAAAAAAAAAAEAIAAAACIAAABkcnMvZG93bnJldi54bWxQSwECFAAUAAAACACHTuJAcqCm/B0C&#10;AABQBAAADgAAAAAAAAABACAAAAAlAQAAZHJzL2Uyb0RvYy54bWxQSwUGAAAAAAYABgBZAQAAtAUA&#10;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5635;height:297180;width:517525;" filled="f" stroked="t" coordsize="21600,21600" o:gfxdata="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GyKfEfUAAAABQEAAA8AAAAAAAAAAQAg&#10;AAAAIgAAAGRycy9kb3ducmV2LnhtbFBLAQIUABQAAAAIAIdO4kCkn9EcEgIAACcEAAAOAAAAAAAA&#10;AAEAIAAAACMBAABkcnMvZTJvRG9jLnhtbFBLBQYAAAAABgAGAFkBAACnBQ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8455;height:297180;width:522605;" fillcolor="#FFFFFF" filled="t" stroked="t" coordsize="21600,21600" o:gfxdata="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A1mPXh1AAAAAUB&#10;AAAPAAAAAAAAAAEAIAAAACIAAABkcnMvZG93bnJldi54bWxQSwECFAAUAAAACACHTuJATwO7Ux8C&#10;AABQBAAADgAAAAAAAAABACAAAAAjAQAAZHJzL2Uyb0RvYy54bWxQSwUGAAAAAAYABgBZAQAAtAUA&#10;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275;height:297180;width:534035;" fillcolor="#FFFFFF" filled="t" stroked="t" coordsize="21600,21600" o:gfxdata="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DWY9eHUAAAABQEAAA8A&#10;AAAAAAAAAQAgAAAAIgAAAGRycy9kb3ducmV2LnhtbFBLAQIUABQAAAAIAIdO4kDXMRCUGwIAAE8E&#10;AAAOAAAAAAAAAAEAIAAAACM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000;height:245110;width:1624330;" fillcolor="#FFFFFF" filled="t" stroked="f" coordsize="21600,21600" o:gfxdata="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A/YTq/1AAAAAUBAAAPAAAAAAAAAAEAIAAAACIAAABk&#10;cnMvZG93bnJldi54bWxQSwECFAAUAAAACACHTuJAEUbPvNEBAACTAwAADgAAAAAAAAABACAAAAAj&#10;AQAAZHJzL2Uyb0RvYy54bWxQSwUGAAAAAAYABgBZAQAAZg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highlight w:val="none"/>
        </w:rPr>
      </w:pPr>
      <w:r>
        <w:rPr>
          <w:rFonts w:hint="eastAsia"/>
          <w:sz w:val="18"/>
          <w:szCs w:val="18"/>
          <w:highlight w:val="none"/>
        </w:rPr>
        <w:t>产品风险评级由温州银行根据产品投资对象、实际的风险控制情况、投资运作情况等合理确定。根据温州银行内部风险评级标准，本产品的风险等级为PR</w:t>
      </w:r>
      <w:r>
        <w:rPr>
          <w:sz w:val="18"/>
          <w:szCs w:val="18"/>
          <w:highlight w:val="none"/>
        </w:rPr>
        <w:t>2</w:t>
      </w:r>
      <w:r>
        <w:rPr>
          <w:rFonts w:hint="eastAsia"/>
          <w:sz w:val="18"/>
          <w:szCs w:val="18"/>
          <w:highlight w:val="none"/>
        </w:rPr>
        <w:t>。该评级仅是温州银行内部测评结果，仅供投资者参考，不具有任何法律约束力。</w:t>
      </w:r>
    </w:p>
    <w:p>
      <w:pPr>
        <w:adjustRightInd w:val="0"/>
        <w:snapToGrid w:val="0"/>
        <w:spacing w:line="300" w:lineRule="auto"/>
        <w:rPr>
          <w:b/>
          <w:sz w:val="18"/>
          <w:szCs w:val="18"/>
          <w:highlight w:val="none"/>
        </w:rPr>
      </w:pPr>
      <w:r>
        <w:rPr>
          <w:rFonts w:hint="eastAsia"/>
          <w:b/>
          <w:sz w:val="18"/>
          <w:szCs w:val="18"/>
          <w:highlight w:val="none"/>
        </w:rPr>
        <w:t>产品概述</w:t>
      </w:r>
    </w:p>
    <w:tbl>
      <w:tblPr>
        <w:tblStyle w:val="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产品名称</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sz w:val="18"/>
                <w:szCs w:val="18"/>
                <w:highlight w:val="none"/>
              </w:rPr>
              <w:t xml:space="preserve"> “</w:t>
            </w:r>
            <w:r>
              <w:rPr>
                <w:rFonts w:hint="eastAsia"/>
                <w:sz w:val="18"/>
                <w:szCs w:val="18"/>
                <w:highlight w:val="none"/>
              </w:rPr>
              <w:t>金鹿理财</w:t>
            </w:r>
            <w:r>
              <w:rPr>
                <w:sz w:val="18"/>
                <w:szCs w:val="18"/>
                <w:highlight w:val="none"/>
              </w:rPr>
              <w:t>-</w:t>
            </w:r>
            <w:r>
              <w:rPr>
                <w:rFonts w:hint="eastAsia"/>
                <w:sz w:val="18"/>
                <w:szCs w:val="18"/>
                <w:highlight w:val="none"/>
              </w:rPr>
              <w:t>臻享</w:t>
            </w:r>
            <w:r>
              <w:rPr>
                <w:sz w:val="18"/>
                <w:szCs w:val="18"/>
                <w:highlight w:val="none"/>
              </w:rPr>
              <w:t>”</w:t>
            </w:r>
            <w:r>
              <w:rPr>
                <w:rFonts w:hint="eastAsia"/>
                <w:color w:val="000000"/>
                <w:sz w:val="18"/>
                <w:szCs w:val="18"/>
                <w:highlight w:val="none"/>
                <w:u w:val="single"/>
                <w:lang w:eastAsia="zh-CN"/>
              </w:rPr>
              <w:t>23026号</w:t>
            </w:r>
            <w:r>
              <w:rPr>
                <w:rFonts w:hint="eastAsia"/>
                <w:sz w:val="18"/>
                <w:szCs w:val="18"/>
                <w:highlight w:val="none"/>
              </w:rPr>
              <w:t>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产品编号</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default" w:eastAsia="宋体"/>
                <w:sz w:val="18"/>
                <w:szCs w:val="18"/>
                <w:highlight w:val="none"/>
                <w:lang w:val="en-US" w:eastAsia="zh-CN"/>
              </w:rPr>
            </w:pPr>
            <w:r>
              <w:rPr>
                <w:rFonts w:hint="eastAsia"/>
                <w:color w:val="000000"/>
                <w:sz w:val="18"/>
                <w:szCs w:val="18"/>
                <w:highlight w:val="none"/>
              </w:rPr>
              <w:t>Z230</w:t>
            </w:r>
            <w:r>
              <w:rPr>
                <w:rFonts w:hint="eastAsia"/>
                <w:color w:val="000000"/>
                <w:sz w:val="18"/>
                <w:szCs w:val="18"/>
                <w:highlight w:val="none"/>
                <w:lang w:val="en-US" w:eastAsia="zh-CN"/>
              </w:rPr>
              <w:t>26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产品登记编码</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default" w:eastAsia="宋体"/>
                <w:color w:val="000000"/>
                <w:sz w:val="18"/>
                <w:szCs w:val="18"/>
                <w:highlight w:val="none"/>
                <w:lang w:val="en-US" w:eastAsia="zh-Hans"/>
              </w:rPr>
            </w:pPr>
            <w:r>
              <w:rPr>
                <w:rFonts w:hint="default" w:eastAsia="宋体"/>
                <w:color w:val="000000"/>
                <w:sz w:val="18"/>
                <w:szCs w:val="18"/>
                <w:highlight w:val="none"/>
                <w:lang w:val="en-US" w:eastAsia="zh-Hans"/>
              </w:rPr>
              <w:t>C1092223A000025</w:t>
            </w:r>
          </w:p>
          <w:p>
            <w:pPr>
              <w:adjustRightInd w:val="0"/>
              <w:snapToGrid w:val="0"/>
              <w:spacing w:line="288" w:lineRule="auto"/>
              <w:jc w:val="center"/>
              <w:rPr>
                <w:sz w:val="18"/>
                <w:szCs w:val="18"/>
                <w:highlight w:val="none"/>
              </w:rPr>
            </w:pPr>
            <w:r>
              <w:rPr>
                <w:sz w:val="18"/>
                <w:szCs w:val="18"/>
                <w:highlight w:val="none"/>
              </w:rPr>
              <w:t>(</w:t>
            </w:r>
            <w:r>
              <w:rPr>
                <w:rFonts w:hint="eastAsia"/>
                <w:sz w:val="18"/>
                <w:szCs w:val="18"/>
                <w:highlight w:val="none"/>
              </w:rPr>
              <w:t>投资者可登录中国理财网</w:t>
            </w:r>
            <w:r>
              <w:rPr>
                <w:sz w:val="18"/>
                <w:szCs w:val="18"/>
                <w:highlight w:val="none"/>
                <w:u w:val="single"/>
              </w:rPr>
              <w:t>www.chinawealth.com.cn</w:t>
            </w:r>
            <w:r>
              <w:rPr>
                <w:rFonts w:hint="eastAsia"/>
                <w:sz w:val="18"/>
                <w:szCs w:val="18"/>
                <w:highlight w:val="none"/>
              </w:rPr>
              <w:t>查询产品信息</w:t>
            </w:r>
            <w:r>
              <w:rPr>
                <w:sz w:val="18"/>
                <w:szCs w:val="18"/>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产品类型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投资类型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混合类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风险评级</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根据温州银行内部风险评级标准，本产品的风险等级为</w:t>
            </w:r>
            <w:r>
              <w:rPr>
                <w:sz w:val="18"/>
                <w:szCs w:val="18"/>
                <w:highlight w:val="none"/>
              </w:rPr>
              <w:t>PR2</w:t>
            </w:r>
            <w:r>
              <w:rPr>
                <w:rFonts w:hint="eastAsia"/>
                <w:sz w:val="18"/>
                <w:szCs w:val="18"/>
                <w:highlight w:val="none"/>
              </w:rPr>
              <w:t>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适合客户</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经温州银行风险承受能力评估为稳健型、平衡型、进取型、激进型的个人合格投资者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发行方式</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非公开募集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理财期限（</w:t>
            </w:r>
            <w:r>
              <w:rPr>
                <w:sz w:val="18"/>
                <w:szCs w:val="18"/>
                <w:highlight w:val="none"/>
              </w:rPr>
              <w:t>T</w:t>
            </w:r>
            <w:r>
              <w:rPr>
                <w:rFonts w:hint="eastAsia"/>
                <w:sz w:val="18"/>
                <w:szCs w:val="18"/>
                <w:highlight w:val="none"/>
              </w:rPr>
              <w:t>）</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default"/>
                <w:color w:val="000000"/>
                <w:sz w:val="18"/>
                <w:highlight w:val="none"/>
                <w:u w:val="single"/>
              </w:rPr>
              <w:t>601</w:t>
            </w:r>
            <w:r>
              <w:rPr>
                <w:rFonts w:hint="eastAsia"/>
                <w:sz w:val="18"/>
                <w:szCs w:val="18"/>
                <w:highlight w:val="none"/>
              </w:rPr>
              <w:t>天</w:t>
            </w:r>
            <w:r>
              <w:rPr>
                <w:sz w:val="18"/>
                <w:szCs w:val="18"/>
                <w:highlight w:val="none"/>
              </w:rPr>
              <w:t xml:space="preserve">  </w:t>
            </w:r>
            <w:r>
              <w:rPr>
                <w:rFonts w:hint="eastAsia"/>
                <w:sz w:val="18"/>
                <w:szCs w:val="18"/>
                <w:highlight w:val="none"/>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交易币种</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收益类型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计划发行量</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发售规模不超过10</w:t>
            </w:r>
            <w:r>
              <w:rPr>
                <w:sz w:val="18"/>
                <w:szCs w:val="18"/>
                <w:highlight w:val="none"/>
              </w:rPr>
              <w:t>000</w:t>
            </w:r>
            <w:r>
              <w:rPr>
                <w:rFonts w:hint="eastAsia"/>
                <w:sz w:val="18"/>
                <w:szCs w:val="18"/>
                <w:highlight w:val="none"/>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认购期</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default"/>
                <w:sz w:val="18"/>
                <w:szCs w:val="18"/>
                <w:highlight w:val="none"/>
                <w:u w:val="single"/>
              </w:rPr>
            </w:pPr>
            <w:r>
              <w:rPr>
                <w:rFonts w:hint="eastAsia"/>
                <w:color w:val="000000"/>
                <w:sz w:val="18"/>
                <w:highlight w:val="none"/>
                <w:u w:val="single"/>
              </w:rPr>
              <w:t>202</w:t>
            </w:r>
            <w:r>
              <w:rPr>
                <w:rFonts w:hint="eastAsia"/>
                <w:color w:val="000000"/>
                <w:sz w:val="18"/>
                <w:highlight w:val="none"/>
                <w:u w:val="single"/>
                <w:lang w:val="en-US" w:eastAsia="zh-CN"/>
              </w:rPr>
              <w:t>4</w:t>
            </w:r>
            <w:r>
              <w:rPr>
                <w:rFonts w:hint="eastAsia"/>
                <w:color w:val="000000"/>
                <w:sz w:val="18"/>
                <w:highlight w:val="none"/>
                <w:u w:val="single"/>
              </w:rPr>
              <w:t>年</w:t>
            </w:r>
            <w:r>
              <w:rPr>
                <w:rFonts w:hint="eastAsia"/>
                <w:color w:val="000000"/>
                <w:sz w:val="18"/>
                <w:highlight w:val="none"/>
                <w:u w:val="single"/>
                <w:lang w:val="en-US" w:eastAsia="zh-CN"/>
              </w:rPr>
              <w:t>1</w:t>
            </w:r>
            <w:r>
              <w:rPr>
                <w:rFonts w:hint="eastAsia"/>
                <w:color w:val="000000"/>
                <w:sz w:val="18"/>
                <w:highlight w:val="none"/>
                <w:u w:val="single"/>
              </w:rPr>
              <w:t>月</w:t>
            </w:r>
            <w:r>
              <w:rPr>
                <w:rFonts w:hint="eastAsia"/>
                <w:color w:val="000000"/>
                <w:sz w:val="18"/>
                <w:highlight w:val="none"/>
                <w:u w:val="single"/>
                <w:lang w:val="en-US" w:eastAsia="zh-CN"/>
              </w:rPr>
              <w:t>3</w:t>
            </w:r>
            <w:r>
              <w:rPr>
                <w:rFonts w:hint="eastAsia"/>
                <w:color w:val="000000"/>
                <w:sz w:val="18"/>
                <w:highlight w:val="none"/>
                <w:u w:val="single"/>
              </w:rPr>
              <w:t>日至</w:t>
            </w:r>
            <w:r>
              <w:rPr>
                <w:rFonts w:hint="default"/>
                <w:color w:val="000000"/>
                <w:sz w:val="18"/>
                <w:highlight w:val="none"/>
                <w:u w:val="single"/>
              </w:rPr>
              <w:t>202</w:t>
            </w:r>
            <w:r>
              <w:rPr>
                <w:rFonts w:hint="eastAsia"/>
                <w:color w:val="000000"/>
                <w:sz w:val="18"/>
                <w:highlight w:val="none"/>
                <w:u w:val="single"/>
                <w:lang w:val="en-US" w:eastAsia="zh-CN"/>
              </w:rPr>
              <w:t>4</w:t>
            </w:r>
            <w:r>
              <w:rPr>
                <w:rFonts w:hint="default"/>
                <w:color w:val="000000"/>
                <w:sz w:val="18"/>
                <w:highlight w:val="none"/>
                <w:u w:val="single"/>
              </w:rPr>
              <w:t>年</w:t>
            </w:r>
            <w:r>
              <w:rPr>
                <w:rFonts w:hint="eastAsia"/>
                <w:color w:val="000000"/>
                <w:sz w:val="18"/>
                <w:highlight w:val="none"/>
                <w:u w:val="single"/>
                <w:lang w:val="en-US" w:eastAsia="zh-CN"/>
              </w:rPr>
              <w:t>1</w:t>
            </w:r>
            <w:r>
              <w:rPr>
                <w:rFonts w:hint="default"/>
                <w:color w:val="000000"/>
                <w:sz w:val="18"/>
                <w:highlight w:val="none"/>
                <w:u w:val="single"/>
              </w:rPr>
              <w:t>月</w:t>
            </w:r>
            <w:r>
              <w:rPr>
                <w:rFonts w:hint="eastAsia"/>
                <w:color w:val="000000"/>
                <w:sz w:val="18"/>
                <w:highlight w:val="none"/>
                <w:u w:val="single"/>
                <w:lang w:val="en-US" w:eastAsia="zh-CN"/>
              </w:rPr>
              <w:t>9</w:t>
            </w:r>
            <w:r>
              <w:rPr>
                <w:rFonts w:hint="default"/>
                <w:color w:val="000000"/>
                <w:sz w:val="18"/>
                <w:highlight w:val="none"/>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投资冷静期</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color w:val="000000"/>
                <w:sz w:val="18"/>
                <w:szCs w:val="22"/>
                <w:highlight w:val="none"/>
                <w:u w:val="single"/>
              </w:rPr>
            </w:pPr>
            <w:r>
              <w:rPr>
                <w:color w:val="000000"/>
                <w:sz w:val="18"/>
                <w:szCs w:val="22"/>
                <w:highlight w:val="none"/>
                <w:u w:val="single"/>
              </w:rPr>
              <w:t>认购期最后一天为冷静期</w:t>
            </w:r>
            <w:r>
              <w:rPr>
                <w:rFonts w:hint="eastAsia"/>
                <w:color w:val="000000"/>
                <w:sz w:val="18"/>
                <w:szCs w:val="22"/>
                <w:highlight w:val="none"/>
                <w:u w:val="single"/>
              </w:rPr>
              <w:t>，</w:t>
            </w:r>
            <w:r>
              <w:rPr>
                <w:color w:val="000000"/>
                <w:sz w:val="18"/>
                <w:szCs w:val="22"/>
                <w:highlight w:val="none"/>
                <w:u w:val="single"/>
              </w:rPr>
              <w:t>不可认购</w:t>
            </w:r>
            <w:r>
              <w:rPr>
                <w:rFonts w:hint="eastAsia"/>
                <w:color w:val="000000"/>
                <w:sz w:val="18"/>
                <w:szCs w:val="22"/>
                <w:highlight w:val="none"/>
                <w:u w:val="single"/>
              </w:rPr>
              <w:t>，</w:t>
            </w:r>
            <w:r>
              <w:rPr>
                <w:color w:val="000000"/>
                <w:sz w:val="18"/>
                <w:szCs w:val="22"/>
                <w:highlight w:val="none"/>
                <w:u w:val="single"/>
              </w:rPr>
              <w:t>可撤单</w:t>
            </w:r>
            <w:r>
              <w:rPr>
                <w:rFonts w:hint="eastAsia"/>
                <w:color w:val="000000"/>
                <w:sz w:val="18"/>
                <w:szCs w:val="22"/>
                <w:highlight w:val="none"/>
                <w:u w:val="single"/>
              </w:rPr>
              <w:t>。</w:t>
            </w:r>
            <w:r>
              <w:rPr>
                <w:color w:val="000000"/>
                <w:sz w:val="18"/>
                <w:szCs w:val="22"/>
                <w:highlight w:val="none"/>
                <w:u w:val="single"/>
              </w:rPr>
              <w:t>投资者在认购期首日</w:t>
            </w:r>
            <w:r>
              <w:rPr>
                <w:rFonts w:hint="eastAsia"/>
                <w:color w:val="000000"/>
                <w:sz w:val="18"/>
                <w:szCs w:val="22"/>
                <w:highlight w:val="none"/>
                <w:u w:val="single"/>
              </w:rPr>
              <w:t>9:0</w:t>
            </w:r>
            <w:r>
              <w:rPr>
                <w:color w:val="000000"/>
                <w:sz w:val="18"/>
                <w:szCs w:val="22"/>
                <w:highlight w:val="none"/>
                <w:u w:val="single"/>
              </w:rPr>
              <w:t>0至产品成立前一日</w:t>
            </w:r>
            <w:r>
              <w:rPr>
                <w:rFonts w:hint="eastAsia"/>
                <w:color w:val="000000"/>
                <w:sz w:val="18"/>
                <w:szCs w:val="22"/>
                <w:highlight w:val="none"/>
                <w:u w:val="single"/>
              </w:rPr>
              <w:t>1</w:t>
            </w:r>
            <w:r>
              <w:rPr>
                <w:color w:val="000000"/>
                <w:sz w:val="18"/>
                <w:szCs w:val="22"/>
                <w:highlight w:val="none"/>
                <w:u w:val="single"/>
              </w:rPr>
              <w:t>7</w:t>
            </w:r>
            <w:r>
              <w:rPr>
                <w:rFonts w:hint="eastAsia"/>
                <w:color w:val="000000"/>
                <w:sz w:val="18"/>
                <w:szCs w:val="22"/>
                <w:highlight w:val="none"/>
                <w:u w:val="single"/>
              </w:rPr>
              <w:t>:00之前均可申请撤单。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产品成立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理财开始日</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default"/>
                <w:sz w:val="18"/>
                <w:szCs w:val="18"/>
                <w:highlight w:val="none"/>
              </w:rPr>
            </w:pPr>
            <w:r>
              <w:rPr>
                <w:rFonts w:hint="default"/>
                <w:color w:val="000000"/>
                <w:sz w:val="18"/>
                <w:highlight w:val="none"/>
                <w:u w:val="single"/>
              </w:rPr>
              <w:t>202</w:t>
            </w:r>
            <w:r>
              <w:rPr>
                <w:rFonts w:hint="eastAsia"/>
                <w:color w:val="000000"/>
                <w:sz w:val="18"/>
                <w:highlight w:val="none"/>
                <w:u w:val="single"/>
                <w:lang w:val="en-US" w:eastAsia="zh-CN"/>
              </w:rPr>
              <w:t>4</w:t>
            </w:r>
            <w:r>
              <w:rPr>
                <w:rFonts w:hint="default"/>
                <w:color w:val="000000"/>
                <w:sz w:val="18"/>
                <w:highlight w:val="none"/>
                <w:u w:val="single"/>
              </w:rPr>
              <w:t>年</w:t>
            </w:r>
            <w:r>
              <w:rPr>
                <w:rFonts w:hint="eastAsia"/>
                <w:color w:val="000000"/>
                <w:sz w:val="18"/>
                <w:highlight w:val="none"/>
                <w:u w:val="single"/>
                <w:lang w:val="en-US" w:eastAsia="zh-CN"/>
              </w:rPr>
              <w:t>1</w:t>
            </w:r>
            <w:r>
              <w:rPr>
                <w:rFonts w:hint="default"/>
                <w:color w:val="000000"/>
                <w:sz w:val="18"/>
                <w:highlight w:val="none"/>
                <w:u w:val="single"/>
              </w:rPr>
              <w:t>月</w:t>
            </w:r>
            <w:r>
              <w:rPr>
                <w:rFonts w:hint="eastAsia"/>
                <w:color w:val="000000"/>
                <w:sz w:val="18"/>
                <w:highlight w:val="none"/>
                <w:u w:val="single"/>
                <w:lang w:val="en-US" w:eastAsia="zh-CN"/>
              </w:rPr>
              <w:t>10</w:t>
            </w:r>
            <w:r>
              <w:rPr>
                <w:rFonts w:hint="default"/>
                <w:color w:val="000000"/>
                <w:sz w:val="18"/>
                <w:highlight w:val="none"/>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理财预计到期日</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default"/>
                <w:color w:val="000000"/>
                <w:sz w:val="18"/>
                <w:szCs w:val="24"/>
                <w:highlight w:val="none"/>
                <w:u w:val="single"/>
              </w:rPr>
            </w:pPr>
            <w:r>
              <w:rPr>
                <w:rFonts w:hint="default"/>
                <w:color w:val="000000"/>
                <w:sz w:val="18"/>
                <w:highlight w:val="none"/>
                <w:u w:val="single"/>
              </w:rPr>
              <w:t>2025年</w:t>
            </w:r>
            <w:r>
              <w:rPr>
                <w:rFonts w:hint="eastAsia"/>
                <w:color w:val="000000"/>
                <w:sz w:val="18"/>
                <w:highlight w:val="none"/>
                <w:u w:val="single"/>
                <w:lang w:val="en-US" w:eastAsia="zh-CN"/>
              </w:rPr>
              <w:t>9</w:t>
            </w:r>
            <w:r>
              <w:rPr>
                <w:rFonts w:hint="default"/>
                <w:color w:val="000000"/>
                <w:sz w:val="18"/>
                <w:highlight w:val="none"/>
                <w:u w:val="single"/>
              </w:rPr>
              <w:t>月</w:t>
            </w:r>
            <w:r>
              <w:rPr>
                <w:rFonts w:hint="eastAsia"/>
                <w:color w:val="000000"/>
                <w:sz w:val="18"/>
                <w:highlight w:val="none"/>
                <w:u w:val="single"/>
                <w:lang w:val="en-US" w:eastAsia="zh-CN"/>
              </w:rPr>
              <w:t>2</w:t>
            </w:r>
            <w:r>
              <w:rPr>
                <w:rFonts w:hint="default"/>
                <w:color w:val="000000"/>
                <w:sz w:val="18"/>
                <w:highlight w:val="none"/>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业绩比较基准（</w:t>
            </w:r>
            <w:r>
              <w:rPr>
                <w:sz w:val="18"/>
                <w:szCs w:val="18"/>
                <w:highlight w:val="none"/>
              </w:rPr>
              <w:t>R</w:t>
            </w:r>
            <w:r>
              <w:rPr>
                <w:rFonts w:hint="eastAsia"/>
                <w:sz w:val="18"/>
                <w:szCs w:val="18"/>
                <w:highlight w:val="none"/>
              </w:rPr>
              <w:t>）</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sz w:val="18"/>
                <w:szCs w:val="18"/>
                <w:highlight w:val="none"/>
              </w:rPr>
            </w:pPr>
            <w:r>
              <w:rPr>
                <w:rFonts w:hint="default"/>
                <w:color w:val="000000"/>
                <w:sz w:val="18"/>
                <w:highlight w:val="none"/>
              </w:rPr>
              <w:t>3.7%</w:t>
            </w:r>
            <w:r>
              <w:rPr>
                <w:rFonts w:hint="eastAsia"/>
                <w:sz w:val="18"/>
                <w:szCs w:val="18"/>
                <w:highlight w:val="none"/>
              </w:rPr>
              <w:t>（年化）</w:t>
            </w:r>
          </w:p>
          <w:p>
            <w:pPr>
              <w:adjustRightInd w:val="0"/>
              <w:snapToGrid w:val="0"/>
              <w:spacing w:line="288" w:lineRule="auto"/>
              <w:jc w:val="left"/>
              <w:rPr>
                <w:rFonts w:hint="eastAsia"/>
                <w:sz w:val="18"/>
                <w:szCs w:val="18"/>
                <w:highlight w:val="none"/>
              </w:rPr>
            </w:pPr>
            <w:r>
              <w:rPr>
                <w:rFonts w:hint="eastAsia"/>
                <w:sz w:val="18"/>
                <w:szCs w:val="18"/>
                <w:highlight w:val="none"/>
              </w:rPr>
              <w:t>本产品为净值型理财产品，其业绩表现将随市场波动具有不确定性。业绩比较基准并不代表实际收益率，仅作为浮动管理费计提参照使用。业绩比较基准测算依据：管理人</w:t>
            </w:r>
            <w:r>
              <w:rPr>
                <w:sz w:val="18"/>
                <w:szCs w:val="18"/>
                <w:highlight w:val="none"/>
              </w:rPr>
              <w:t>参考过往投资经验，依据近期货币市场工具、债券等资产</w:t>
            </w:r>
            <w:r>
              <w:rPr>
                <w:rFonts w:hint="eastAsia"/>
                <w:sz w:val="18"/>
                <w:szCs w:val="18"/>
                <w:highlight w:val="none"/>
              </w:rPr>
              <w:t>投资</w:t>
            </w:r>
            <w:r>
              <w:rPr>
                <w:sz w:val="18"/>
                <w:szCs w:val="18"/>
                <w:highlight w:val="none"/>
              </w:rPr>
              <w:t>收益水平，在产品说明书约定的投资范围和投资比例内</w:t>
            </w:r>
            <w:r>
              <w:rPr>
                <w:rFonts w:hint="eastAsia"/>
                <w:sz w:val="18"/>
                <w:szCs w:val="18"/>
                <w:highlight w:val="none"/>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固定管理费率</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left"/>
              <w:rPr>
                <w:sz w:val="18"/>
                <w:szCs w:val="18"/>
                <w:highlight w:val="none"/>
              </w:rPr>
            </w:pPr>
            <w:r>
              <w:rPr>
                <w:rFonts w:hint="eastAsia"/>
                <w:sz w:val="18"/>
                <w:szCs w:val="18"/>
                <w:highlight w:val="none"/>
              </w:rPr>
              <w:t>最高不超过</w:t>
            </w:r>
            <w:r>
              <w:rPr>
                <w:sz w:val="18"/>
                <w:szCs w:val="18"/>
                <w:highlight w:val="none"/>
              </w:rPr>
              <w:t>0.</w:t>
            </w:r>
            <w:r>
              <w:rPr>
                <w:rFonts w:hint="eastAsia"/>
                <w:sz w:val="18"/>
                <w:szCs w:val="18"/>
                <w:highlight w:val="none"/>
              </w:rPr>
              <w:t>8</w:t>
            </w:r>
            <w:r>
              <w:rPr>
                <w:sz w:val="18"/>
                <w:szCs w:val="18"/>
                <w:highlight w:val="none"/>
              </w:rPr>
              <w:t>%</w:t>
            </w:r>
            <w:r>
              <w:rPr>
                <w:rFonts w:hint="eastAsia"/>
                <w:sz w:val="18"/>
                <w:szCs w:val="18"/>
                <w:highlight w:val="none"/>
              </w:rPr>
              <w:t>（年化）。若本理财产品扣除产品固定管理费、托管费及其他费用（如有）后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期末累计单位净值年化增长率超过业绩比较基准，则温州银行按0</w:t>
            </w:r>
            <w:r>
              <w:rPr>
                <w:sz w:val="18"/>
                <w:szCs w:val="18"/>
                <w:highlight w:val="none"/>
              </w:rPr>
              <w:t>.</w:t>
            </w:r>
            <w:r>
              <w:rPr>
                <w:rFonts w:hint="eastAsia"/>
                <w:sz w:val="18"/>
                <w:szCs w:val="18"/>
                <w:highlight w:val="none"/>
              </w:rPr>
              <w:t>8%（年化）收取固定管理费；若本理财产品扣除产品固定管理费、托管费及其他费用（如有）后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期末累计单位净值年化增长率低于业绩比较基准，则温州银行将减免与业绩比较基准的差额部分，减免上限最高不超过0</w:t>
            </w:r>
            <w:r>
              <w:rPr>
                <w:sz w:val="18"/>
                <w:szCs w:val="18"/>
                <w:highlight w:val="none"/>
              </w:rPr>
              <w:t>.</w:t>
            </w:r>
            <w:r>
              <w:rPr>
                <w:rFonts w:hint="eastAsia"/>
                <w:sz w:val="18"/>
                <w:szCs w:val="18"/>
                <w:highlight w:val="none"/>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托管费率</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sz w:val="18"/>
                <w:szCs w:val="18"/>
                <w:highlight w:val="none"/>
              </w:rPr>
              <w:t>0.0</w:t>
            </w:r>
            <w:r>
              <w:rPr>
                <w:rFonts w:hint="eastAsia"/>
                <w:sz w:val="18"/>
                <w:szCs w:val="18"/>
                <w:highlight w:val="none"/>
              </w:rPr>
              <w:t>05</w:t>
            </w:r>
            <w:r>
              <w:rPr>
                <w:sz w:val="18"/>
                <w:szCs w:val="18"/>
                <w:highlight w:val="none"/>
              </w:rPr>
              <w:t>%</w:t>
            </w:r>
            <w:r>
              <w:rPr>
                <w:rFonts w:hint="eastAsia"/>
                <w:sz w:val="18"/>
                <w:szCs w:val="18"/>
                <w:highlight w:val="none"/>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浮动管理费</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若本理财产品扣除产品固定管理费（如有）、托管费及其他费用（如有）后</w:t>
            </w:r>
            <w:r>
              <w:rPr>
                <w:sz w:val="18"/>
                <w:szCs w:val="18"/>
                <w:highlight w:val="none"/>
              </w:rPr>
              <w:t>,</w:t>
            </w:r>
            <w:r>
              <w:rPr>
                <w:rFonts w:hint="eastAsia"/>
                <w:sz w:val="18"/>
                <w:szCs w:val="18"/>
                <w:highlight w:val="none"/>
              </w:rPr>
              <w:t>期末累计单位净值年化增长率超过业绩比较基准，则超出部分2</w:t>
            </w:r>
            <w:r>
              <w:rPr>
                <w:sz w:val="18"/>
                <w:szCs w:val="18"/>
                <w:highlight w:val="none"/>
              </w:rPr>
              <w:t>0%</w:t>
            </w:r>
            <w:r>
              <w:rPr>
                <w:rFonts w:hint="eastAsia"/>
                <w:sz w:val="18"/>
                <w:szCs w:val="18"/>
                <w:highlight w:val="none"/>
              </w:rPr>
              <w:t>归客户所有，80</w:t>
            </w:r>
            <w:r>
              <w:rPr>
                <w:sz w:val="18"/>
                <w:szCs w:val="18"/>
                <w:highlight w:val="none"/>
              </w:rPr>
              <w:t>%</w:t>
            </w:r>
            <w:r>
              <w:rPr>
                <w:rFonts w:hint="eastAsia"/>
                <w:sz w:val="18"/>
                <w:szCs w:val="18"/>
                <w:highlight w:val="none"/>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其他费用（如有）</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ascii="Times New Roman" w:hAnsi="Times New Roman"/>
                <w:sz w:val="18"/>
                <w:szCs w:val="18"/>
                <w:highlight w:val="none"/>
              </w:rPr>
            </w:pPr>
            <w:r>
              <w:rPr>
                <w:rFonts w:hint="eastAsia"/>
                <w:sz w:val="18"/>
                <w:szCs w:val="18"/>
                <w:highlight w:val="none"/>
              </w:rPr>
              <w:t>单笔认购</w:t>
            </w:r>
            <w:r>
              <w:rPr>
                <w:sz w:val="18"/>
                <w:szCs w:val="18"/>
                <w:highlight w:val="none"/>
              </w:rPr>
              <w:t>/</w:t>
            </w:r>
            <w:r>
              <w:rPr>
                <w:rFonts w:hint="eastAsia"/>
                <w:sz w:val="18"/>
                <w:szCs w:val="18"/>
                <w:highlight w:val="none"/>
              </w:rPr>
              <w:t>申购</w:t>
            </w:r>
          </w:p>
          <w:p>
            <w:pPr>
              <w:adjustRightInd w:val="0"/>
              <w:snapToGrid w:val="0"/>
              <w:spacing w:line="288" w:lineRule="auto"/>
              <w:jc w:val="center"/>
              <w:rPr>
                <w:sz w:val="18"/>
                <w:szCs w:val="18"/>
                <w:highlight w:val="none"/>
              </w:rPr>
            </w:pPr>
            <w:r>
              <w:rPr>
                <w:rFonts w:hint="eastAsia"/>
                <w:sz w:val="18"/>
                <w:szCs w:val="18"/>
                <w:highlight w:val="none"/>
              </w:rPr>
              <w:t>最低份额</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认购金额4</w:t>
            </w:r>
            <w:r>
              <w:rPr>
                <w:sz w:val="18"/>
                <w:szCs w:val="18"/>
                <w:highlight w:val="none"/>
              </w:rPr>
              <w:t>0</w:t>
            </w:r>
            <w:r>
              <w:rPr>
                <w:rFonts w:hint="eastAsia"/>
                <w:sz w:val="18"/>
                <w:szCs w:val="18"/>
                <w:highlight w:val="none"/>
              </w:rPr>
              <w:t>万元起，以</w:t>
            </w:r>
            <w:r>
              <w:rPr>
                <w:sz w:val="18"/>
                <w:szCs w:val="18"/>
                <w:highlight w:val="none"/>
              </w:rPr>
              <w:t>1</w:t>
            </w:r>
            <w:r>
              <w:rPr>
                <w:rFonts w:hint="eastAsia"/>
                <w:sz w:val="18"/>
                <w:szCs w:val="18"/>
                <w:highlight w:val="none"/>
              </w:rPr>
              <w:t>000元的整数倍追加；认购份额</w:t>
            </w:r>
            <w:r>
              <w:rPr>
                <w:sz w:val="18"/>
                <w:szCs w:val="18"/>
                <w:highlight w:val="none"/>
              </w:rPr>
              <w:t>=</w:t>
            </w:r>
            <w:r>
              <w:rPr>
                <w:rFonts w:hint="eastAsia"/>
                <w:sz w:val="18"/>
                <w:szCs w:val="18"/>
                <w:highlight w:val="none"/>
              </w:rPr>
              <w:t>认购金额</w:t>
            </w:r>
            <w:r>
              <w:rPr>
                <w:sz w:val="18"/>
                <w:szCs w:val="18"/>
                <w:highlight w:val="none"/>
              </w:rPr>
              <w:t>/1</w:t>
            </w:r>
            <w:r>
              <w:rPr>
                <w:rFonts w:hint="eastAsia"/>
                <w:sz w:val="18"/>
                <w:szCs w:val="18"/>
                <w:highlight w:val="none"/>
              </w:rPr>
              <w:t>元。认购份额保留至</w:t>
            </w:r>
            <w:r>
              <w:rPr>
                <w:sz w:val="18"/>
                <w:szCs w:val="18"/>
                <w:highlight w:val="none"/>
              </w:rPr>
              <w:t>0.01</w:t>
            </w:r>
            <w:r>
              <w:rPr>
                <w:rFonts w:hint="eastAsia"/>
                <w:sz w:val="18"/>
                <w:szCs w:val="18"/>
                <w:highlight w:val="none"/>
              </w:rPr>
              <w:t>份理财产品份额，小数点后两位以下四舍五入。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单位净值</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6"/>
              <w:rPr>
                <w:sz w:val="18"/>
                <w:szCs w:val="18"/>
                <w:highlight w:val="none"/>
              </w:rPr>
            </w:pPr>
            <w:r>
              <w:rPr>
                <w:rFonts w:hint="eastAsia"/>
                <w:sz w:val="18"/>
                <w:szCs w:val="18"/>
                <w:highlight w:val="none"/>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产品托管人及主要职责</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auto"/>
              <w:jc w:val="left"/>
              <w:rPr>
                <w:sz w:val="18"/>
                <w:szCs w:val="18"/>
                <w:highlight w:val="none"/>
              </w:rPr>
            </w:pPr>
            <w:r>
              <w:rPr>
                <w:rFonts w:hint="eastAsia"/>
                <w:sz w:val="18"/>
                <w:szCs w:val="18"/>
                <w:highlight w:val="none"/>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销售机构及主要职责</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auto"/>
              <w:jc w:val="left"/>
              <w:rPr>
                <w:sz w:val="18"/>
                <w:szCs w:val="18"/>
                <w:highlight w:val="none"/>
              </w:rPr>
            </w:pPr>
            <w:r>
              <w:rPr>
                <w:rFonts w:hint="eastAsia"/>
                <w:sz w:val="18"/>
                <w:szCs w:val="18"/>
                <w:highlight w:val="none"/>
              </w:rPr>
              <w:t>温州银行股份有限公司。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净值披露</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温州银行将至少按季度在温州银行官方网站或电子银行等信息平台披露产品资产净值、份额净值和其他重要信息。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税款规定</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jc w:val="left"/>
              <w:rPr>
                <w:rFonts w:ascii="宋体" w:hAnsi="宋体" w:cs="宋体"/>
                <w:kern w:val="0"/>
                <w:sz w:val="18"/>
                <w:szCs w:val="18"/>
                <w:highlight w:val="none"/>
              </w:rPr>
            </w:pPr>
            <w:r>
              <w:rPr>
                <w:rFonts w:hint="eastAsia" w:ascii="宋体" w:hAnsi="宋体" w:cs="宋体"/>
                <w:kern w:val="0"/>
                <w:sz w:val="18"/>
                <w:szCs w:val="18"/>
                <w:highlight w:val="none"/>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提前终止权</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b/>
                <w:sz w:val="18"/>
                <w:szCs w:val="18"/>
                <w:highlight w:val="none"/>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工作日</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其他规定</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highlight w:val="none"/>
        </w:rPr>
      </w:pPr>
      <w:r>
        <w:rPr>
          <w:rFonts w:hint="eastAsia"/>
          <w:b/>
          <w:sz w:val="18"/>
          <w:szCs w:val="18"/>
          <w:highlight w:val="none"/>
        </w:rPr>
        <w:t>投资管理</w:t>
      </w:r>
    </w:p>
    <w:p>
      <w:pPr>
        <w:adjustRightInd w:val="0"/>
        <w:snapToGrid w:val="0"/>
        <w:spacing w:line="300" w:lineRule="auto"/>
        <w:rPr>
          <w:sz w:val="18"/>
          <w:szCs w:val="18"/>
          <w:highlight w:val="none"/>
        </w:rPr>
      </w:pPr>
      <w:r>
        <w:rPr>
          <w:rFonts w:hint="eastAsia"/>
          <w:sz w:val="18"/>
          <w:szCs w:val="18"/>
          <w:highlight w:val="none"/>
        </w:rPr>
        <w:t>1、投资对象</w:t>
      </w:r>
    </w:p>
    <w:p>
      <w:pPr>
        <w:adjustRightInd w:val="0"/>
        <w:snapToGrid w:val="0"/>
        <w:spacing w:line="300" w:lineRule="auto"/>
        <w:rPr>
          <w:sz w:val="18"/>
          <w:szCs w:val="18"/>
          <w:highlight w:val="none"/>
        </w:rPr>
      </w:pPr>
      <w:r>
        <w:rPr>
          <w:rFonts w:hint="eastAsia"/>
          <w:sz w:val="18"/>
          <w:szCs w:val="18"/>
          <w:highlight w:val="none"/>
        </w:rPr>
        <w:t>本产品为混合类理财产品，温州银行将理财产品募集资金直接或间接配置于存款、大额存单、同业存单、债券回购、货币市场工具、债券等债权类资产及权益类资产，包括但不限于银行间市场和证券交易所市场债权性资产、非标准化债权资产、公募基金、资产管理计划、信托计划、各类受（收）益权、资产支持证券、票据资产、债券型基金、股票型基金、证券投资基金、</w:t>
      </w:r>
      <w:r>
        <w:rPr>
          <w:rFonts w:hint="eastAsia" w:ascii="宋体" w:cs="宋体"/>
          <w:kern w:val="0"/>
          <w:sz w:val="18"/>
          <w:szCs w:val="18"/>
          <w:highlight w:val="none"/>
          <w:lang w:val="zh-CN"/>
        </w:rPr>
        <w:t>上市交易的股票、未上市企业股权及其受（收）益权</w:t>
      </w:r>
      <w:r>
        <w:rPr>
          <w:rFonts w:hint="eastAsia"/>
          <w:sz w:val="18"/>
          <w:szCs w:val="18"/>
          <w:highlight w:val="none"/>
        </w:rPr>
        <w:t>，及其他符合监管要求的投资标的和资产组合。本产品的收益主要来源于理财资金所投资资产的投资回报。投资者按其认购金额占该理财产品项下所有认购资金的比例，承担相应比例的收益和风险。</w:t>
      </w:r>
    </w:p>
    <w:p>
      <w:pPr>
        <w:numPr>
          <w:ilvl w:val="0"/>
          <w:numId w:val="1"/>
        </w:numPr>
        <w:adjustRightInd w:val="0"/>
        <w:snapToGrid w:val="0"/>
        <w:spacing w:line="288" w:lineRule="auto"/>
        <w:rPr>
          <w:rFonts w:hint="eastAsia"/>
          <w:sz w:val="18"/>
          <w:szCs w:val="18"/>
          <w:highlight w:val="none"/>
        </w:rPr>
      </w:pPr>
      <w:r>
        <w:rPr>
          <w:rFonts w:hint="eastAsia"/>
          <w:sz w:val="18"/>
          <w:szCs w:val="18"/>
          <w:highlight w:val="none"/>
        </w:rPr>
        <w:t>投资范围与投资比例</w:t>
      </w:r>
    </w:p>
    <w:tbl>
      <w:tblPr>
        <w:tblStyle w:val="7"/>
        <w:tblW w:w="0" w:type="auto"/>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noWrap w:val="0"/>
            <w:vAlign w:val="bottom"/>
          </w:tcPr>
          <w:p>
            <w:pPr>
              <w:widowControl/>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资产类别</w:t>
            </w:r>
          </w:p>
        </w:tc>
        <w:tc>
          <w:tcPr>
            <w:tcW w:w="5616" w:type="dxa"/>
            <w:tcBorders>
              <w:top w:val="single" w:color="auto" w:sz="4" w:space="0"/>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资产种类</w:t>
            </w:r>
          </w:p>
        </w:tc>
        <w:tc>
          <w:tcPr>
            <w:tcW w:w="1703" w:type="dxa"/>
            <w:tcBorders>
              <w:top w:val="single" w:color="auto" w:sz="4" w:space="0"/>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noWrap w:val="0"/>
            <w:vAlign w:val="center"/>
          </w:tcPr>
          <w:p>
            <w:pPr>
              <w:widowControl/>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债权类资产</w:t>
            </w: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存款、大额存单、同业存单、债券回购、货币市场工具、债券等债权类资产</w:t>
            </w:r>
          </w:p>
        </w:tc>
        <w:tc>
          <w:tcPr>
            <w:tcW w:w="1703" w:type="dxa"/>
            <w:vMerge w:val="restart"/>
            <w:tcBorders>
              <w:top w:val="nil"/>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20-80%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color w:val="000000"/>
                <w:kern w:val="0"/>
                <w:sz w:val="18"/>
                <w:szCs w:val="18"/>
                <w:highlight w:val="none"/>
              </w:rPr>
            </w:pP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highlight w:val="none"/>
              </w:rPr>
            </w:pPr>
            <w:r>
              <w:rPr>
                <w:rFonts w:hint="eastAsia"/>
                <w:sz w:val="18"/>
                <w:szCs w:val="18"/>
                <w:highlight w:val="none"/>
              </w:rPr>
              <w:t>信托计划、理财直融工具等非标准化债权资产</w:t>
            </w:r>
          </w:p>
        </w:tc>
        <w:tc>
          <w:tcPr>
            <w:tcW w:w="1703"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color w:val="000000"/>
                <w:kern w:val="0"/>
                <w:sz w:val="18"/>
                <w:szCs w:val="18"/>
                <w:highlight w:val="none"/>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color w:val="000000"/>
                <w:kern w:val="0"/>
                <w:sz w:val="18"/>
                <w:szCs w:val="18"/>
                <w:highlight w:val="none"/>
              </w:rPr>
            </w:pP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其他符合监管要求的固定收益类资产</w:t>
            </w:r>
          </w:p>
        </w:tc>
        <w:tc>
          <w:tcPr>
            <w:tcW w:w="1703"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color w:val="000000"/>
                <w:kern w:val="0"/>
                <w:sz w:val="18"/>
                <w:szCs w:val="18"/>
                <w:highlight w:val="none"/>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noWrap w:val="0"/>
            <w:vAlign w:val="bottom"/>
          </w:tcPr>
          <w:p>
            <w:pPr>
              <w:widowControl/>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权益类资产</w:t>
            </w: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股票型基金、证券投资基金</w:t>
            </w:r>
            <w:r>
              <w:rPr>
                <w:rFonts w:hint="eastAsia"/>
                <w:sz w:val="18"/>
                <w:szCs w:val="18"/>
                <w:highlight w:val="none"/>
              </w:rPr>
              <w:t>以及其他符合监管要求的权益类资产</w:t>
            </w:r>
          </w:p>
        </w:tc>
        <w:tc>
          <w:tcPr>
            <w:tcW w:w="1703" w:type="dxa"/>
            <w:tcBorders>
              <w:top w:val="nil"/>
              <w:left w:val="nil"/>
              <w:bottom w:val="single" w:color="auto" w:sz="4" w:space="0"/>
              <w:right w:val="single" w:color="auto" w:sz="4" w:space="0"/>
            </w:tcBorders>
            <w:noWrap w:val="0"/>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20-</w:t>
            </w:r>
            <w:r>
              <w:rPr>
                <w:rFonts w:ascii="宋体" w:hAnsi="宋体" w:cs="宋体"/>
                <w:color w:val="000000"/>
                <w:kern w:val="0"/>
                <w:sz w:val="18"/>
                <w:szCs w:val="18"/>
                <w:highlight w:val="none"/>
              </w:rPr>
              <w:t>3</w:t>
            </w:r>
            <w:r>
              <w:rPr>
                <w:rFonts w:hint="eastAsia" w:ascii="宋体" w:hAnsi="宋体" w:cs="宋体"/>
                <w:color w:val="000000"/>
                <w:kern w:val="0"/>
                <w:sz w:val="18"/>
                <w:szCs w:val="18"/>
                <w:highlight w:val="none"/>
              </w:rPr>
              <w:t>0%</w:t>
            </w:r>
          </w:p>
        </w:tc>
      </w:tr>
    </w:tbl>
    <w:p>
      <w:pPr>
        <w:adjustRightInd w:val="0"/>
        <w:snapToGrid w:val="0"/>
        <w:spacing w:line="286" w:lineRule="auto"/>
        <w:rPr>
          <w:rFonts w:hint="eastAsia"/>
          <w:sz w:val="18"/>
          <w:szCs w:val="18"/>
          <w:highlight w:val="none"/>
        </w:rPr>
      </w:pPr>
      <w:r>
        <w:rPr>
          <w:rFonts w:hint="eastAsia"/>
          <w:sz w:val="18"/>
          <w:szCs w:val="18"/>
          <w:highlight w:val="none"/>
        </w:rPr>
        <w:t>本理财产品的杠杆水平不超过</w:t>
      </w:r>
      <w:r>
        <w:rPr>
          <w:sz w:val="18"/>
          <w:szCs w:val="18"/>
          <w:highlight w:val="none"/>
        </w:rPr>
        <w:t>20</w:t>
      </w:r>
      <w:r>
        <w:rPr>
          <w:rFonts w:hint="eastAsia"/>
          <w:sz w:val="18"/>
          <w:szCs w:val="18"/>
          <w:highlight w:val="none"/>
        </w:rPr>
        <w:t>0%。</w:t>
      </w:r>
    </w:p>
    <w:p>
      <w:pPr>
        <w:adjustRightInd w:val="0"/>
        <w:snapToGrid w:val="0"/>
        <w:spacing w:line="286" w:lineRule="auto"/>
        <w:rPr>
          <w:sz w:val="18"/>
          <w:szCs w:val="18"/>
          <w:highlight w:val="none"/>
        </w:rPr>
      </w:pPr>
      <w:r>
        <w:rPr>
          <w:rFonts w:hint="eastAsia"/>
          <w:sz w:val="18"/>
          <w:szCs w:val="18"/>
          <w:highlight w:val="none"/>
        </w:rPr>
        <w:t>本理财产品建仓期为自本产品成立日起的六个自然月，温州银行应当自本产品成立日起六个月内使理财计划的投资组合比例符合上述约定。理财产品投资退出期为自理财预计到期日前三个自然月至理财产品终止日，期间各投资品种配置比例可能超出或不足计划的配置比例区间。</w:t>
      </w:r>
    </w:p>
    <w:p>
      <w:pPr>
        <w:adjustRightInd w:val="0"/>
        <w:snapToGrid w:val="0"/>
        <w:spacing w:line="286" w:lineRule="auto"/>
        <w:rPr>
          <w:sz w:val="18"/>
          <w:szCs w:val="18"/>
          <w:highlight w:val="none"/>
        </w:rPr>
      </w:pPr>
      <w:r>
        <w:rPr>
          <w:rFonts w:hint="eastAsia"/>
          <w:sz w:val="18"/>
          <w:szCs w:val="18"/>
          <w:highlight w:val="none"/>
        </w:rPr>
        <w:t>除上述情形外，非因温州银行主观因素导致突破前述比例限制的，为保护投资者利益，温州银行将在流动性受限资产可出售、可转让或者恢复交易的15个交易日内调整至上述比例范围，国务院银行业监督管理机构规定的特殊情形除外。</w:t>
      </w:r>
    </w:p>
    <w:p>
      <w:pPr>
        <w:adjustRightInd w:val="0"/>
        <w:snapToGrid w:val="0"/>
        <w:spacing w:line="286" w:lineRule="auto"/>
        <w:rPr>
          <w:sz w:val="18"/>
          <w:szCs w:val="18"/>
          <w:highlight w:val="none"/>
        </w:rPr>
      </w:pPr>
      <w:r>
        <w:rPr>
          <w:rFonts w:hint="eastAsia"/>
          <w:sz w:val="18"/>
          <w:szCs w:val="18"/>
          <w:highlight w:val="none"/>
        </w:rPr>
        <w:t>3、投资策略</w:t>
      </w:r>
    </w:p>
    <w:p>
      <w:pPr>
        <w:adjustRightInd w:val="0"/>
        <w:snapToGrid w:val="0"/>
        <w:spacing w:line="286" w:lineRule="auto"/>
        <w:rPr>
          <w:b/>
          <w:sz w:val="18"/>
          <w:szCs w:val="18"/>
          <w:highlight w:val="none"/>
        </w:rPr>
      </w:pPr>
      <w:r>
        <w:rPr>
          <w:rFonts w:hint="eastAsia"/>
          <w:sz w:val="18"/>
          <w:szCs w:val="18"/>
          <w:highlight w:val="none"/>
        </w:rPr>
        <w:t>本产品采用安全性和流动性优先、追求适度收益的投资策略。主要投资于固定收益类资产，并适当配置一定比例的权益资产，追求组合风险收益最大化。本产品将在控制产品收益波动幅度的前提下，为投资者做好大类资产配置，力争获取达到或超过业绩比较基准的收益。</w:t>
      </w:r>
    </w:p>
    <w:p>
      <w:pPr>
        <w:adjustRightInd w:val="0"/>
        <w:snapToGrid w:val="0"/>
        <w:spacing w:line="286" w:lineRule="auto"/>
        <w:rPr>
          <w:b/>
          <w:sz w:val="18"/>
          <w:szCs w:val="18"/>
          <w:highlight w:val="none"/>
        </w:rPr>
      </w:pPr>
      <w:r>
        <w:rPr>
          <w:rFonts w:hint="eastAsia"/>
          <w:b/>
          <w:sz w:val="18"/>
          <w:szCs w:val="18"/>
          <w:highlight w:val="none"/>
        </w:rPr>
        <w:t>产品销售</w:t>
      </w:r>
    </w:p>
    <w:p>
      <w:pPr>
        <w:adjustRightInd w:val="0"/>
        <w:snapToGrid w:val="0"/>
        <w:spacing w:line="286" w:lineRule="auto"/>
        <w:rPr>
          <w:sz w:val="18"/>
          <w:szCs w:val="18"/>
          <w:highlight w:val="none"/>
        </w:rPr>
      </w:pPr>
      <w:r>
        <w:rPr>
          <w:rFonts w:hint="eastAsia"/>
          <w:sz w:val="18"/>
          <w:szCs w:val="18"/>
          <w:highlight w:val="none"/>
        </w:rPr>
        <w:t>销售地区范围包括浙江省、上海地区等。</w:t>
      </w:r>
    </w:p>
    <w:p>
      <w:pPr>
        <w:adjustRightInd w:val="0"/>
        <w:snapToGrid w:val="0"/>
        <w:spacing w:line="281" w:lineRule="auto"/>
        <w:rPr>
          <w:b/>
          <w:sz w:val="18"/>
          <w:szCs w:val="18"/>
          <w:highlight w:val="none"/>
        </w:rPr>
      </w:pPr>
      <w:r>
        <w:rPr>
          <w:rFonts w:hint="eastAsia"/>
          <w:b/>
          <w:sz w:val="18"/>
          <w:szCs w:val="18"/>
          <w:highlight w:val="none"/>
        </w:rPr>
        <w:t>合格投资者</w:t>
      </w:r>
    </w:p>
    <w:p>
      <w:pPr>
        <w:adjustRightInd w:val="0"/>
        <w:snapToGrid w:val="0"/>
        <w:spacing w:line="281" w:lineRule="auto"/>
        <w:rPr>
          <w:sz w:val="18"/>
          <w:szCs w:val="18"/>
          <w:highlight w:val="none"/>
        </w:rPr>
      </w:pPr>
      <w:r>
        <w:rPr>
          <w:rFonts w:hint="eastAsia"/>
          <w:sz w:val="18"/>
          <w:szCs w:val="18"/>
          <w:highlight w:val="none"/>
        </w:rPr>
        <w:t>本产品对应合格投资者指具备相应风险识别能力和风险承担能力，同时满足下列条件的：</w:t>
      </w:r>
    </w:p>
    <w:p>
      <w:pPr>
        <w:adjustRightInd w:val="0"/>
        <w:snapToGrid w:val="0"/>
        <w:spacing w:line="281" w:lineRule="auto"/>
        <w:rPr>
          <w:rFonts w:hint="eastAsia"/>
          <w:sz w:val="18"/>
          <w:szCs w:val="18"/>
          <w:highlight w:val="none"/>
        </w:rPr>
      </w:pPr>
      <w:r>
        <w:rPr>
          <w:rFonts w:hint="eastAsia"/>
          <w:sz w:val="18"/>
          <w:szCs w:val="18"/>
          <w:highlight w:val="none"/>
        </w:rPr>
        <w:t>1、具有2年以上投资经历，且满足下列条件之一的自然人：家庭金融净资产不低于300万元人民币，或者家庭金融资产不低于500万元人民币，或者近3年本人年均收入不低于40万元人民币；</w:t>
      </w:r>
    </w:p>
    <w:p>
      <w:pPr>
        <w:adjustRightInd w:val="0"/>
        <w:snapToGrid w:val="0"/>
        <w:spacing w:line="281" w:lineRule="auto"/>
        <w:rPr>
          <w:sz w:val="18"/>
          <w:szCs w:val="18"/>
          <w:highlight w:val="none"/>
        </w:rPr>
      </w:pPr>
      <w:r>
        <w:rPr>
          <w:rFonts w:hint="eastAsia"/>
          <w:sz w:val="18"/>
          <w:szCs w:val="18"/>
          <w:highlight w:val="none"/>
        </w:rPr>
        <w:t>2、金融监督管理部门视为合格投资者的其他情形。</w:t>
      </w:r>
    </w:p>
    <w:p>
      <w:pPr>
        <w:adjustRightInd w:val="0"/>
        <w:snapToGrid w:val="0"/>
        <w:spacing w:line="281" w:lineRule="auto"/>
        <w:rPr>
          <w:sz w:val="18"/>
          <w:szCs w:val="18"/>
          <w:highlight w:val="none"/>
        </w:rPr>
      </w:pPr>
      <w:r>
        <w:rPr>
          <w:rFonts w:hint="eastAsia"/>
          <w:sz w:val="18"/>
          <w:szCs w:val="18"/>
          <w:highlight w:val="none"/>
        </w:rPr>
        <w:t>注：温州银行有权根据监管政策对合格投资者的定义进行准入条件调整，若有调整，温州银行将就相关调整事宜在调整前一个工作日在温州银行网站予以公告。</w:t>
      </w:r>
    </w:p>
    <w:p>
      <w:pPr>
        <w:adjustRightInd w:val="0"/>
        <w:snapToGrid w:val="0"/>
        <w:spacing w:line="286" w:lineRule="auto"/>
        <w:rPr>
          <w:b/>
          <w:bCs/>
          <w:sz w:val="18"/>
          <w:szCs w:val="18"/>
          <w:highlight w:val="none"/>
        </w:rPr>
      </w:pPr>
      <w:r>
        <w:rPr>
          <w:rFonts w:hint="eastAsia"/>
          <w:b/>
          <w:bCs/>
          <w:sz w:val="18"/>
          <w:szCs w:val="18"/>
          <w:highlight w:val="none"/>
        </w:rPr>
        <w:t>投资管理人</w:t>
      </w:r>
    </w:p>
    <w:p>
      <w:pPr>
        <w:adjustRightInd w:val="0"/>
        <w:snapToGrid w:val="0"/>
        <w:spacing w:line="286" w:lineRule="auto"/>
        <w:rPr>
          <w:sz w:val="18"/>
          <w:szCs w:val="18"/>
          <w:highlight w:val="none"/>
        </w:rPr>
      </w:pPr>
      <w:r>
        <w:rPr>
          <w:rFonts w:hint="eastAsia"/>
          <w:sz w:val="18"/>
          <w:szCs w:val="18"/>
          <w:highlight w:val="none"/>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rFonts w:hint="eastAsia"/>
          <w:b/>
          <w:bCs/>
          <w:sz w:val="18"/>
          <w:szCs w:val="18"/>
          <w:highlight w:val="none"/>
        </w:rPr>
      </w:pPr>
      <w:r>
        <w:rPr>
          <w:rFonts w:hint="eastAsia"/>
          <w:b/>
          <w:bCs/>
          <w:sz w:val="18"/>
          <w:szCs w:val="18"/>
          <w:highlight w:val="none"/>
        </w:rPr>
        <w:t>产品托管人</w:t>
      </w:r>
    </w:p>
    <w:p>
      <w:pPr>
        <w:adjustRightInd w:val="0"/>
        <w:snapToGrid w:val="0"/>
        <w:spacing w:line="286" w:lineRule="auto"/>
        <w:rPr>
          <w:rFonts w:hint="eastAsia"/>
          <w:b/>
          <w:bCs/>
          <w:sz w:val="18"/>
          <w:szCs w:val="18"/>
          <w:highlight w:val="none"/>
        </w:rPr>
      </w:pPr>
      <w:r>
        <w:rPr>
          <w:rFonts w:hint="eastAsia"/>
          <w:sz w:val="18"/>
          <w:szCs w:val="18"/>
          <w:highlight w:val="none"/>
        </w:rPr>
        <w:t>本产品的托管人为宁波</w:t>
      </w:r>
      <w:r>
        <w:rPr>
          <w:sz w:val="18"/>
          <w:szCs w:val="18"/>
          <w:highlight w:val="none"/>
        </w:rPr>
        <w:t>银行股份有限公司</w:t>
      </w:r>
      <w:r>
        <w:rPr>
          <w:rFonts w:hint="eastAsia"/>
          <w:sz w:val="18"/>
          <w:szCs w:val="18"/>
          <w:highlight w:val="none"/>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highlight w:val="none"/>
        </w:rPr>
      </w:pPr>
      <w:r>
        <w:rPr>
          <w:rFonts w:hint="eastAsia"/>
          <w:b/>
          <w:bCs/>
          <w:sz w:val="18"/>
          <w:szCs w:val="18"/>
          <w:highlight w:val="none"/>
        </w:rPr>
        <w:t>理财产品估值</w:t>
      </w:r>
    </w:p>
    <w:p>
      <w:pPr>
        <w:adjustRightInd w:val="0"/>
        <w:snapToGrid w:val="0"/>
        <w:spacing w:line="286" w:lineRule="auto"/>
        <w:rPr>
          <w:sz w:val="18"/>
          <w:szCs w:val="18"/>
          <w:highlight w:val="none"/>
        </w:rPr>
      </w:pPr>
      <w:r>
        <w:rPr>
          <w:rFonts w:hint="eastAsia"/>
          <w:sz w:val="18"/>
          <w:szCs w:val="18"/>
          <w:highlight w:val="none"/>
        </w:rPr>
        <w:t xml:space="preserve">【估值日】 </w:t>
      </w:r>
    </w:p>
    <w:p>
      <w:pPr>
        <w:adjustRightInd w:val="0"/>
        <w:snapToGrid w:val="0"/>
        <w:spacing w:line="286" w:lineRule="auto"/>
        <w:rPr>
          <w:sz w:val="18"/>
          <w:szCs w:val="18"/>
          <w:highlight w:val="none"/>
        </w:rPr>
      </w:pPr>
      <w:r>
        <w:rPr>
          <w:rFonts w:hint="eastAsia"/>
          <w:sz w:val="18"/>
          <w:szCs w:val="18"/>
          <w:highlight w:val="none"/>
        </w:rPr>
        <w:t xml:space="preserve">本理财产品估值日为每个证券交易所的交易日，至少每季度投资管理人和理财托管人核对估值结果并向投资人披露。（如遇非工作日顺延至下一工作日，具体日期以温州银行公告为准）。 </w:t>
      </w:r>
    </w:p>
    <w:p>
      <w:pPr>
        <w:adjustRightInd w:val="0"/>
        <w:snapToGrid w:val="0"/>
        <w:spacing w:line="286" w:lineRule="auto"/>
        <w:rPr>
          <w:sz w:val="18"/>
          <w:szCs w:val="18"/>
          <w:highlight w:val="none"/>
        </w:rPr>
      </w:pPr>
      <w:r>
        <w:rPr>
          <w:rFonts w:hint="eastAsia"/>
          <w:sz w:val="18"/>
          <w:szCs w:val="18"/>
          <w:highlight w:val="none"/>
        </w:rPr>
        <w:t>【估值对象】</w:t>
      </w:r>
    </w:p>
    <w:p>
      <w:pPr>
        <w:adjustRightInd w:val="0"/>
        <w:snapToGrid w:val="0"/>
        <w:spacing w:line="286" w:lineRule="auto"/>
        <w:rPr>
          <w:sz w:val="18"/>
          <w:szCs w:val="18"/>
          <w:highlight w:val="none"/>
        </w:rPr>
      </w:pPr>
      <w:r>
        <w:rPr>
          <w:rFonts w:hint="eastAsia"/>
          <w:sz w:val="18"/>
          <w:szCs w:val="18"/>
          <w:highlight w:val="none"/>
        </w:rPr>
        <w:t xml:space="preserve"> 本理财产品所拥有的投资资产。</w:t>
      </w:r>
    </w:p>
    <w:p>
      <w:pPr>
        <w:adjustRightInd w:val="0"/>
        <w:snapToGrid w:val="0"/>
        <w:spacing w:line="286" w:lineRule="auto"/>
        <w:rPr>
          <w:sz w:val="18"/>
          <w:szCs w:val="18"/>
          <w:highlight w:val="none"/>
        </w:rPr>
      </w:pPr>
      <w:r>
        <w:rPr>
          <w:rFonts w:hint="eastAsia"/>
          <w:sz w:val="18"/>
          <w:szCs w:val="18"/>
          <w:highlight w:val="none"/>
        </w:rPr>
        <w:t xml:space="preserve">【估值目的】 </w:t>
      </w:r>
    </w:p>
    <w:p>
      <w:pPr>
        <w:adjustRightInd w:val="0"/>
        <w:snapToGrid w:val="0"/>
        <w:spacing w:line="286" w:lineRule="auto"/>
        <w:rPr>
          <w:sz w:val="18"/>
          <w:szCs w:val="18"/>
          <w:highlight w:val="none"/>
        </w:rPr>
      </w:pPr>
      <w:r>
        <w:rPr>
          <w:rFonts w:hint="eastAsia"/>
          <w:sz w:val="18"/>
          <w:szCs w:val="18"/>
          <w:highlight w:val="none"/>
        </w:rPr>
        <w:t xml:space="preserve">客观、准确反映理财产品的价值。 </w:t>
      </w:r>
    </w:p>
    <w:p>
      <w:pPr>
        <w:adjustRightInd w:val="0"/>
        <w:snapToGrid w:val="0"/>
        <w:spacing w:line="286" w:lineRule="auto"/>
        <w:rPr>
          <w:sz w:val="18"/>
          <w:szCs w:val="18"/>
          <w:highlight w:val="none"/>
        </w:rPr>
      </w:pPr>
      <w:r>
        <w:rPr>
          <w:rFonts w:hint="eastAsia"/>
          <w:sz w:val="18"/>
          <w:szCs w:val="18"/>
          <w:highlight w:val="none"/>
        </w:rPr>
        <w:t xml:space="preserve">【估值方法】 </w:t>
      </w:r>
    </w:p>
    <w:p>
      <w:pPr>
        <w:adjustRightInd w:val="0"/>
        <w:snapToGrid w:val="0"/>
        <w:spacing w:line="286" w:lineRule="auto"/>
        <w:rPr>
          <w:rFonts w:hint="eastAsia"/>
          <w:sz w:val="18"/>
          <w:szCs w:val="18"/>
          <w:highlight w:val="none"/>
        </w:rPr>
      </w:pPr>
      <w:r>
        <w:rPr>
          <w:rFonts w:hint="eastAsia"/>
          <w:sz w:val="18"/>
          <w:szCs w:val="18"/>
          <w:highlight w:val="none"/>
        </w:rPr>
        <w:t>1、货币市场工具：</w:t>
      </w:r>
    </w:p>
    <w:p>
      <w:pPr>
        <w:adjustRightInd w:val="0"/>
        <w:snapToGrid w:val="0"/>
        <w:spacing w:line="286" w:lineRule="auto"/>
        <w:rPr>
          <w:rFonts w:hint="eastAsia"/>
          <w:sz w:val="18"/>
          <w:szCs w:val="18"/>
          <w:highlight w:val="none"/>
        </w:rPr>
      </w:pPr>
      <w:r>
        <w:rPr>
          <w:rFonts w:hint="eastAsia"/>
          <w:sz w:val="18"/>
          <w:szCs w:val="18"/>
          <w:highlight w:val="none"/>
        </w:rPr>
        <w:t>（1）银行存款类资产及债券回购以本金列示、逐日计提利息。</w:t>
      </w:r>
    </w:p>
    <w:p>
      <w:pPr>
        <w:adjustRightInd w:val="0"/>
        <w:snapToGrid w:val="0"/>
        <w:spacing w:line="286" w:lineRule="auto"/>
        <w:rPr>
          <w:rFonts w:hint="eastAsia"/>
          <w:sz w:val="18"/>
          <w:szCs w:val="18"/>
          <w:highlight w:val="none"/>
        </w:rPr>
      </w:pPr>
      <w:r>
        <w:rPr>
          <w:rFonts w:hint="eastAsia"/>
          <w:sz w:val="18"/>
          <w:szCs w:val="18"/>
          <w:highlight w:val="none"/>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rFonts w:hint="eastAsia"/>
          <w:sz w:val="18"/>
          <w:szCs w:val="18"/>
          <w:highlight w:val="none"/>
        </w:rPr>
      </w:pPr>
      <w:r>
        <w:rPr>
          <w:rFonts w:hint="eastAsia"/>
          <w:sz w:val="18"/>
          <w:szCs w:val="18"/>
          <w:highlight w:val="none"/>
        </w:rPr>
        <w:t>2、债券类资产：</w:t>
      </w:r>
    </w:p>
    <w:p>
      <w:pPr>
        <w:adjustRightInd w:val="0"/>
        <w:snapToGrid w:val="0"/>
        <w:spacing w:line="286" w:lineRule="auto"/>
        <w:rPr>
          <w:rFonts w:hint="eastAsia"/>
          <w:sz w:val="18"/>
          <w:szCs w:val="18"/>
          <w:highlight w:val="none"/>
        </w:rPr>
      </w:pPr>
      <w:r>
        <w:rPr>
          <w:rFonts w:hint="eastAsia"/>
          <w:sz w:val="18"/>
          <w:szCs w:val="18"/>
          <w:highlight w:val="none"/>
        </w:rPr>
        <w:t>（1）以收取合同现金流量为目的并持有到期的债券，在符合监管规定的情况下按摊余成本</w:t>
      </w:r>
      <w:r>
        <w:rPr>
          <w:sz w:val="18"/>
          <w:szCs w:val="18"/>
          <w:highlight w:val="none"/>
        </w:rPr>
        <w:t>法</w:t>
      </w:r>
      <w:r>
        <w:rPr>
          <w:rFonts w:hint="eastAsia"/>
          <w:sz w:val="18"/>
          <w:szCs w:val="18"/>
          <w:highlight w:val="none"/>
        </w:rPr>
        <w:t>计量。</w:t>
      </w:r>
    </w:p>
    <w:p>
      <w:pPr>
        <w:adjustRightInd w:val="0"/>
        <w:snapToGrid w:val="0"/>
        <w:spacing w:line="286" w:lineRule="auto"/>
        <w:rPr>
          <w:sz w:val="18"/>
          <w:szCs w:val="18"/>
          <w:highlight w:val="none"/>
        </w:rPr>
      </w:pPr>
      <w:r>
        <w:rPr>
          <w:rFonts w:hint="eastAsia"/>
          <w:sz w:val="18"/>
          <w:szCs w:val="18"/>
          <w:highlight w:val="none"/>
        </w:rPr>
        <w:t>（2）其余债券类资产按市价法估值。市价法不能确定其公允价值的，采用估值技术进行估值。</w:t>
      </w:r>
    </w:p>
    <w:p>
      <w:pPr>
        <w:adjustRightInd w:val="0"/>
        <w:snapToGrid w:val="0"/>
        <w:spacing w:line="286" w:lineRule="auto"/>
        <w:rPr>
          <w:rFonts w:hint="eastAsia"/>
          <w:sz w:val="18"/>
          <w:szCs w:val="18"/>
          <w:highlight w:val="none"/>
        </w:rPr>
      </w:pPr>
      <w:r>
        <w:rPr>
          <w:rFonts w:hint="eastAsia"/>
          <w:sz w:val="18"/>
          <w:szCs w:val="18"/>
          <w:highlight w:val="none"/>
        </w:rPr>
        <w:t>3、债权</w:t>
      </w:r>
      <w:r>
        <w:rPr>
          <w:sz w:val="18"/>
          <w:szCs w:val="18"/>
          <w:highlight w:val="none"/>
        </w:rPr>
        <w:t>类资产</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（1）以收取合同现金流量为目的并持有到期的债权类资产，在符合监管规定的情况下按摊余成本法计量。</w:t>
      </w:r>
    </w:p>
    <w:p>
      <w:pPr>
        <w:adjustRightInd w:val="0"/>
        <w:snapToGrid w:val="0"/>
        <w:spacing w:line="286" w:lineRule="auto"/>
        <w:rPr>
          <w:rFonts w:hint="eastAsia"/>
          <w:sz w:val="18"/>
          <w:szCs w:val="18"/>
          <w:highlight w:val="none"/>
        </w:rPr>
      </w:pPr>
      <w:r>
        <w:rPr>
          <w:rFonts w:hint="eastAsia"/>
          <w:sz w:val="18"/>
          <w:szCs w:val="18"/>
          <w:highlight w:val="none"/>
        </w:rPr>
        <w:t>（2）其余债权类资产按市价法估值。市价法不能确定其公允价值的，采用估值技术进行估值。</w:t>
      </w:r>
    </w:p>
    <w:p>
      <w:pPr>
        <w:adjustRightInd w:val="0"/>
        <w:snapToGrid w:val="0"/>
        <w:spacing w:line="286" w:lineRule="auto"/>
        <w:rPr>
          <w:rFonts w:hint="eastAsia"/>
          <w:sz w:val="18"/>
          <w:szCs w:val="18"/>
          <w:highlight w:val="none"/>
        </w:rPr>
      </w:pPr>
      <w:r>
        <w:rPr>
          <w:rFonts w:hint="eastAsia"/>
          <w:sz w:val="18"/>
          <w:szCs w:val="18"/>
          <w:highlight w:val="none"/>
        </w:rPr>
        <w:t>4、基金、证券、保险等资产管理计划和信托计划等资产（不含货币市场基金）：</w:t>
      </w:r>
    </w:p>
    <w:p>
      <w:pPr>
        <w:adjustRightInd w:val="0"/>
        <w:snapToGrid w:val="0"/>
        <w:spacing w:line="286" w:lineRule="auto"/>
        <w:rPr>
          <w:rFonts w:hint="eastAsia"/>
          <w:sz w:val="18"/>
          <w:szCs w:val="18"/>
          <w:highlight w:val="none"/>
        </w:rPr>
      </w:pPr>
      <w:r>
        <w:rPr>
          <w:rFonts w:hint="eastAsia"/>
          <w:sz w:val="18"/>
          <w:szCs w:val="18"/>
          <w:highlight w:val="none"/>
        </w:rPr>
        <w:t>按照基金、证券、保险等资产管理计划和信托计划的管理人提供的最新净值或投资收益进行估值。</w:t>
      </w:r>
    </w:p>
    <w:p>
      <w:pPr>
        <w:adjustRightInd w:val="0"/>
        <w:snapToGrid w:val="0"/>
        <w:spacing w:line="286" w:lineRule="auto"/>
        <w:rPr>
          <w:rFonts w:hint="eastAsia"/>
          <w:sz w:val="18"/>
          <w:szCs w:val="18"/>
          <w:highlight w:val="none"/>
        </w:rPr>
      </w:pPr>
      <w:r>
        <w:rPr>
          <w:rFonts w:hint="eastAsia"/>
          <w:sz w:val="18"/>
          <w:szCs w:val="18"/>
          <w:highlight w:val="none"/>
        </w:rPr>
        <w:t>5、其他资产：</w:t>
      </w:r>
    </w:p>
    <w:p>
      <w:pPr>
        <w:adjustRightInd w:val="0"/>
        <w:snapToGrid w:val="0"/>
        <w:spacing w:line="286" w:lineRule="auto"/>
        <w:rPr>
          <w:rFonts w:hint="eastAsia"/>
          <w:sz w:val="18"/>
          <w:szCs w:val="18"/>
          <w:highlight w:val="none"/>
        </w:rPr>
      </w:pPr>
      <w:r>
        <w:rPr>
          <w:rFonts w:hint="eastAsia"/>
          <w:sz w:val="18"/>
          <w:szCs w:val="18"/>
          <w:highlight w:val="none"/>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highlight w:val="none"/>
        </w:rPr>
      </w:pPr>
      <w:r>
        <w:rPr>
          <w:rFonts w:hint="eastAsia"/>
          <w:sz w:val="18"/>
          <w:szCs w:val="18"/>
          <w:highlight w:val="none"/>
        </w:rPr>
        <w:t>6、其他事项</w:t>
      </w:r>
    </w:p>
    <w:p>
      <w:pPr>
        <w:adjustRightInd w:val="0"/>
        <w:snapToGrid w:val="0"/>
        <w:spacing w:line="286" w:lineRule="auto"/>
        <w:rPr>
          <w:rFonts w:hint="eastAsia"/>
          <w:sz w:val="18"/>
          <w:szCs w:val="18"/>
          <w:highlight w:val="none"/>
        </w:rPr>
      </w:pPr>
      <w:r>
        <w:rPr>
          <w:rFonts w:hint="eastAsia"/>
          <w:sz w:val="18"/>
          <w:szCs w:val="18"/>
          <w:highlight w:val="none"/>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rFonts w:hint="eastAsia"/>
          <w:sz w:val="18"/>
          <w:szCs w:val="18"/>
          <w:highlight w:val="none"/>
        </w:rPr>
      </w:pPr>
      <w:r>
        <w:rPr>
          <w:rFonts w:hint="eastAsia"/>
          <w:sz w:val="18"/>
          <w:szCs w:val="18"/>
          <w:highlight w:val="none"/>
        </w:rPr>
        <w:t>【估值错误处理】</w:t>
      </w:r>
    </w:p>
    <w:p>
      <w:pPr>
        <w:adjustRightInd w:val="0"/>
        <w:snapToGrid w:val="0"/>
        <w:spacing w:line="286" w:lineRule="auto"/>
        <w:rPr>
          <w:rFonts w:hint="eastAsia"/>
          <w:sz w:val="18"/>
          <w:szCs w:val="18"/>
          <w:highlight w:val="none"/>
        </w:rPr>
      </w:pPr>
      <w:r>
        <w:rPr>
          <w:rFonts w:hint="eastAsia"/>
          <w:sz w:val="18"/>
          <w:szCs w:val="18"/>
          <w:highlight w:val="none"/>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rFonts w:hint="eastAsia" w:ascii="Times New Roman" w:hAnsi="Times New Roman"/>
          <w:sz w:val="18"/>
          <w:szCs w:val="18"/>
          <w:highlight w:val="none"/>
        </w:rPr>
      </w:pPr>
      <w:r>
        <w:rPr>
          <w:rFonts w:hint="eastAsia"/>
          <w:sz w:val="18"/>
          <w:szCs w:val="18"/>
          <w:highlight w:val="none"/>
        </w:rPr>
        <w:t>【</w:t>
      </w:r>
      <w:r>
        <w:rPr>
          <w:rFonts w:hint="eastAsia" w:ascii="Times New Roman" w:hAnsi="Times New Roman"/>
          <w:sz w:val="18"/>
          <w:szCs w:val="18"/>
          <w:highlight w:val="none"/>
        </w:rPr>
        <w:t>暂停估值</w:t>
      </w:r>
      <w:r>
        <w:rPr>
          <w:rFonts w:hint="eastAsia"/>
          <w:sz w:val="18"/>
          <w:szCs w:val="18"/>
          <w:highlight w:val="none"/>
        </w:rPr>
        <w:t>】</w:t>
      </w:r>
    </w:p>
    <w:p>
      <w:pPr>
        <w:adjustRightInd w:val="0"/>
        <w:snapToGrid w:val="0"/>
        <w:spacing w:line="286" w:lineRule="auto"/>
        <w:rPr>
          <w:rFonts w:hint="eastAsia" w:ascii="Times New Roman" w:hAnsi="Times New Roman"/>
          <w:sz w:val="18"/>
          <w:szCs w:val="18"/>
          <w:highlight w:val="none"/>
        </w:rPr>
      </w:pPr>
      <w:r>
        <w:rPr>
          <w:rFonts w:hint="eastAsia" w:ascii="Times New Roman" w:hAnsi="Times New Roman"/>
          <w:sz w:val="18"/>
          <w:szCs w:val="18"/>
          <w:highlight w:val="none"/>
        </w:rPr>
        <w:t>理财产品投资所涉及的证券交易所遇法定节假日或其他原因暂停营业时，或因任何不可抗力致使无法准确评估资产价值时，或</w:t>
      </w:r>
      <w:r>
        <w:rPr>
          <w:rFonts w:hint="eastAsia"/>
          <w:sz w:val="18"/>
          <w:szCs w:val="18"/>
          <w:highlight w:val="none"/>
        </w:rPr>
        <w:t>存在中国银保监会认定的导致无法准确估值的其它情形时</w:t>
      </w:r>
      <w:r>
        <w:rPr>
          <w:rFonts w:hint="eastAsia" w:ascii="Times New Roman" w:hAnsi="Times New Roman"/>
          <w:sz w:val="18"/>
          <w:szCs w:val="18"/>
          <w:highlight w:val="none"/>
        </w:rPr>
        <w:t>，可暂停估值</w:t>
      </w:r>
      <w:r>
        <w:rPr>
          <w:rFonts w:hint="eastAsia"/>
          <w:sz w:val="18"/>
          <w:szCs w:val="18"/>
          <w:highlight w:val="none"/>
        </w:rPr>
        <w:t>，由此造成的损失，产品管理人和托管人不承担责任</w:t>
      </w:r>
      <w:r>
        <w:rPr>
          <w:rFonts w:hint="eastAsia" w:ascii="Times New Roman" w:hAnsi="Times New Roman"/>
          <w:sz w:val="18"/>
          <w:szCs w:val="18"/>
          <w:highlight w:val="none"/>
        </w:rPr>
        <w:t>。</w:t>
      </w:r>
    </w:p>
    <w:p>
      <w:pPr>
        <w:adjustRightInd w:val="0"/>
        <w:snapToGrid w:val="0"/>
        <w:spacing w:line="286" w:lineRule="auto"/>
        <w:rPr>
          <w:b/>
          <w:sz w:val="18"/>
          <w:szCs w:val="18"/>
          <w:highlight w:val="none"/>
        </w:rPr>
      </w:pPr>
      <w:r>
        <w:rPr>
          <w:rFonts w:hint="eastAsia"/>
          <w:b/>
          <w:sz w:val="18"/>
          <w:szCs w:val="18"/>
          <w:highlight w:val="none"/>
        </w:rPr>
        <w:t>理财收益测算及相关费用</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、业绩比较基准</w:t>
      </w:r>
    </w:p>
    <w:p>
      <w:pPr>
        <w:adjustRightInd w:val="0"/>
        <w:snapToGrid w:val="0"/>
        <w:spacing w:line="286" w:lineRule="auto"/>
        <w:rPr>
          <w:sz w:val="18"/>
          <w:szCs w:val="18"/>
          <w:highlight w:val="none"/>
        </w:rPr>
      </w:pPr>
      <w:r>
        <w:rPr>
          <w:rFonts w:hint="eastAsia"/>
          <w:sz w:val="18"/>
          <w:szCs w:val="18"/>
          <w:highlight w:val="none"/>
        </w:rPr>
        <w:t>本产品业绩比较基准为</w:t>
      </w:r>
      <w:r>
        <w:rPr>
          <w:rFonts w:hint="eastAsia"/>
          <w:color w:val="000000"/>
          <w:sz w:val="18"/>
          <w:highlight w:val="none"/>
          <w:lang w:eastAsia="zh-CN"/>
        </w:rPr>
        <w:t>3.7%</w:t>
      </w:r>
      <w:r>
        <w:rPr>
          <w:rFonts w:hint="eastAsia"/>
          <w:sz w:val="18"/>
          <w:szCs w:val="18"/>
          <w:highlight w:val="none"/>
        </w:rPr>
        <w:t>（年化）。本产品业绩比较基准仅作为计提产品浮动管理费的依据，不构成温州银行对该理财产品的任何收益承诺。</w:t>
      </w:r>
    </w:p>
    <w:p>
      <w:pPr>
        <w:adjustRightInd w:val="0"/>
        <w:snapToGrid w:val="0"/>
        <w:spacing w:line="286" w:lineRule="auto"/>
        <w:rPr>
          <w:sz w:val="18"/>
          <w:szCs w:val="18"/>
          <w:highlight w:val="none"/>
        </w:rPr>
      </w:pPr>
      <w:r>
        <w:rPr>
          <w:rFonts w:hint="eastAsia"/>
          <w:sz w:val="18"/>
          <w:szCs w:val="18"/>
          <w:highlight w:val="none"/>
        </w:rPr>
        <w:t>2、理财产品单位净值</w:t>
      </w:r>
    </w:p>
    <w:p>
      <w:pPr>
        <w:adjustRightInd w:val="0"/>
        <w:snapToGrid w:val="0"/>
        <w:spacing w:line="286" w:lineRule="auto"/>
        <w:rPr>
          <w:sz w:val="18"/>
          <w:szCs w:val="18"/>
          <w:highlight w:val="none"/>
        </w:rPr>
      </w:pPr>
      <w:r>
        <w:rPr>
          <w:rFonts w:hint="eastAsia"/>
          <w:sz w:val="18"/>
          <w:szCs w:val="18"/>
          <w:highlight w:val="none"/>
        </w:rPr>
        <w:t>理财产品单位净值=理财产品净值÷理财产品份额</w:t>
      </w:r>
    </w:p>
    <w:p>
      <w:pPr>
        <w:adjustRightInd w:val="0"/>
        <w:snapToGrid w:val="0"/>
        <w:spacing w:line="286" w:lineRule="auto"/>
        <w:rPr>
          <w:sz w:val="18"/>
          <w:szCs w:val="18"/>
          <w:highlight w:val="none"/>
        </w:rPr>
      </w:pPr>
      <w:r>
        <w:rPr>
          <w:rFonts w:hint="eastAsia"/>
          <w:sz w:val="18"/>
          <w:szCs w:val="18"/>
          <w:highlight w:val="none"/>
        </w:rPr>
        <w:t>理财产品单位净值为提取相关费用后的净值，客户按该单位净值进行产品到期终止清算时的分配。</w:t>
      </w:r>
    </w:p>
    <w:p>
      <w:pPr>
        <w:adjustRightInd w:val="0"/>
        <w:snapToGrid w:val="0"/>
        <w:spacing w:line="286" w:lineRule="auto"/>
        <w:rPr>
          <w:sz w:val="18"/>
          <w:szCs w:val="18"/>
          <w:highlight w:val="none"/>
        </w:rPr>
      </w:pPr>
      <w:r>
        <w:rPr>
          <w:rFonts w:hint="eastAsia"/>
          <w:sz w:val="18"/>
          <w:szCs w:val="18"/>
          <w:highlight w:val="none"/>
        </w:rPr>
        <w:t>3、认购</w:t>
      </w:r>
    </w:p>
    <w:p>
      <w:pPr>
        <w:adjustRightInd w:val="0"/>
        <w:snapToGrid w:val="0"/>
        <w:spacing w:line="286" w:lineRule="auto"/>
        <w:rPr>
          <w:sz w:val="18"/>
          <w:szCs w:val="18"/>
          <w:highlight w:val="none"/>
        </w:rPr>
      </w:pPr>
      <w:r>
        <w:rPr>
          <w:rFonts w:hint="eastAsia"/>
          <w:sz w:val="18"/>
          <w:szCs w:val="18"/>
          <w:highlight w:val="none"/>
        </w:rPr>
        <w:t>本产品认购期为</w:t>
      </w:r>
      <w:r>
        <w:rPr>
          <w:rFonts w:hint="eastAsia"/>
          <w:color w:val="000000"/>
          <w:sz w:val="18"/>
          <w:szCs w:val="18"/>
          <w:highlight w:val="none"/>
        </w:rPr>
        <w:t>20</w:t>
      </w:r>
      <w:r>
        <w:rPr>
          <w:rFonts w:hint="eastAsia"/>
          <w:color w:val="000000"/>
          <w:sz w:val="18"/>
          <w:szCs w:val="18"/>
          <w:highlight w:val="none"/>
          <w:lang w:val="en-US" w:eastAsia="zh-CN"/>
        </w:rPr>
        <w:t>24</w:t>
      </w:r>
      <w:r>
        <w:rPr>
          <w:rFonts w:hint="eastAsia"/>
          <w:color w:val="000000"/>
          <w:sz w:val="18"/>
          <w:szCs w:val="18"/>
          <w:highlight w:val="none"/>
        </w:rPr>
        <w:t>年</w:t>
      </w:r>
      <w:r>
        <w:rPr>
          <w:rFonts w:hint="eastAsia"/>
          <w:color w:val="000000"/>
          <w:sz w:val="18"/>
          <w:szCs w:val="18"/>
          <w:highlight w:val="none"/>
          <w:lang w:val="en-US" w:eastAsia="zh-CN"/>
        </w:rPr>
        <w:t>1</w:t>
      </w:r>
      <w:r>
        <w:rPr>
          <w:rFonts w:hint="eastAsia"/>
          <w:color w:val="000000"/>
          <w:sz w:val="18"/>
          <w:szCs w:val="18"/>
          <w:highlight w:val="none"/>
        </w:rPr>
        <w:t>月</w:t>
      </w:r>
      <w:r>
        <w:rPr>
          <w:rFonts w:hint="eastAsia"/>
          <w:color w:val="000000"/>
          <w:sz w:val="18"/>
          <w:szCs w:val="18"/>
          <w:highlight w:val="none"/>
          <w:lang w:val="en-US" w:eastAsia="zh-CN"/>
        </w:rPr>
        <w:t>3</w:t>
      </w:r>
      <w:r>
        <w:rPr>
          <w:rFonts w:hint="eastAsia"/>
          <w:color w:val="000000"/>
          <w:sz w:val="18"/>
          <w:szCs w:val="18"/>
          <w:highlight w:val="none"/>
        </w:rPr>
        <w:t>日</w:t>
      </w:r>
      <w:r>
        <w:rPr>
          <w:rFonts w:hint="eastAsia"/>
          <w:sz w:val="18"/>
          <w:szCs w:val="18"/>
          <w:highlight w:val="none"/>
        </w:rPr>
        <w:t>至</w:t>
      </w:r>
      <w:r>
        <w:rPr>
          <w:rFonts w:hint="default"/>
          <w:color w:val="000000"/>
          <w:sz w:val="18"/>
          <w:szCs w:val="18"/>
          <w:highlight w:val="none"/>
        </w:rPr>
        <w:t>202</w:t>
      </w:r>
      <w:r>
        <w:rPr>
          <w:rFonts w:hint="eastAsia"/>
          <w:color w:val="000000"/>
          <w:sz w:val="18"/>
          <w:szCs w:val="18"/>
          <w:highlight w:val="none"/>
          <w:lang w:val="en-US" w:eastAsia="zh-CN"/>
        </w:rPr>
        <w:t>4</w:t>
      </w:r>
      <w:r>
        <w:rPr>
          <w:rFonts w:hint="default"/>
          <w:color w:val="000000"/>
          <w:sz w:val="18"/>
          <w:szCs w:val="18"/>
          <w:highlight w:val="none"/>
        </w:rPr>
        <w:t>年</w:t>
      </w:r>
      <w:r>
        <w:rPr>
          <w:rFonts w:hint="eastAsia"/>
          <w:color w:val="000000"/>
          <w:sz w:val="18"/>
          <w:szCs w:val="18"/>
          <w:highlight w:val="none"/>
          <w:lang w:val="en-US" w:eastAsia="zh-CN"/>
        </w:rPr>
        <w:t>1</w:t>
      </w:r>
      <w:r>
        <w:rPr>
          <w:rFonts w:hint="default"/>
          <w:color w:val="000000"/>
          <w:sz w:val="18"/>
          <w:szCs w:val="18"/>
          <w:highlight w:val="none"/>
        </w:rPr>
        <w:t>月</w:t>
      </w:r>
      <w:r>
        <w:rPr>
          <w:rFonts w:hint="eastAsia"/>
          <w:color w:val="000000"/>
          <w:sz w:val="18"/>
          <w:szCs w:val="18"/>
          <w:highlight w:val="none"/>
          <w:lang w:val="en-US" w:eastAsia="zh-CN"/>
        </w:rPr>
        <w:t>9</w:t>
      </w:r>
      <w:r>
        <w:rPr>
          <w:rFonts w:hint="default"/>
          <w:color w:val="000000"/>
          <w:sz w:val="18"/>
          <w:szCs w:val="18"/>
          <w:highlight w:val="none"/>
        </w:rPr>
        <w:t>日</w:t>
      </w:r>
      <w:r>
        <w:rPr>
          <w:rFonts w:hint="eastAsia"/>
          <w:sz w:val="18"/>
          <w:szCs w:val="18"/>
          <w:highlight w:val="none"/>
        </w:rPr>
        <w:t>，认购份额=认购金额÷1元</w:t>
      </w:r>
    </w:p>
    <w:p>
      <w:pPr>
        <w:adjustRightInd w:val="0"/>
        <w:snapToGrid w:val="0"/>
        <w:spacing w:line="286" w:lineRule="auto"/>
        <w:rPr>
          <w:sz w:val="18"/>
          <w:szCs w:val="18"/>
          <w:highlight w:val="none"/>
        </w:rPr>
      </w:pPr>
      <w:r>
        <w:rPr>
          <w:rFonts w:hint="eastAsia"/>
          <w:sz w:val="18"/>
          <w:szCs w:val="18"/>
          <w:highlight w:val="none"/>
        </w:rPr>
        <w:t>4、终止（提前终止）</w:t>
      </w:r>
    </w:p>
    <w:p>
      <w:pPr>
        <w:adjustRightInd w:val="0"/>
        <w:snapToGrid w:val="0"/>
        <w:spacing w:line="286" w:lineRule="auto"/>
        <w:rPr>
          <w:color w:val="000000"/>
          <w:sz w:val="18"/>
          <w:highlight w:val="none"/>
        </w:rPr>
      </w:pPr>
      <w:r>
        <w:rPr>
          <w:rFonts w:hint="eastAsia"/>
          <w:sz w:val="18"/>
          <w:szCs w:val="18"/>
          <w:highlight w:val="none"/>
        </w:rPr>
        <w:t>本产品预计到期终止日为</w:t>
      </w:r>
      <w:r>
        <w:rPr>
          <w:rFonts w:hint="default"/>
          <w:color w:val="000000"/>
          <w:sz w:val="18"/>
          <w:highlight w:val="none"/>
        </w:rPr>
        <w:t>20</w:t>
      </w:r>
      <w:r>
        <w:rPr>
          <w:rFonts w:hint="eastAsia"/>
          <w:color w:val="000000"/>
          <w:sz w:val="18"/>
          <w:highlight w:val="none"/>
          <w:lang w:val="en-US" w:eastAsia="zh-CN"/>
        </w:rPr>
        <w:t>25</w:t>
      </w:r>
      <w:r>
        <w:rPr>
          <w:rFonts w:hint="default"/>
          <w:color w:val="000000"/>
          <w:sz w:val="18"/>
          <w:highlight w:val="none"/>
        </w:rPr>
        <w:t>年</w:t>
      </w:r>
      <w:r>
        <w:rPr>
          <w:rFonts w:hint="eastAsia"/>
          <w:color w:val="000000"/>
          <w:sz w:val="18"/>
          <w:highlight w:val="none"/>
          <w:lang w:val="en-US" w:eastAsia="zh-CN"/>
        </w:rPr>
        <w:t>9</w:t>
      </w:r>
      <w:r>
        <w:rPr>
          <w:rFonts w:hint="default"/>
          <w:color w:val="000000"/>
          <w:sz w:val="18"/>
          <w:highlight w:val="none"/>
        </w:rPr>
        <w:t>月</w:t>
      </w:r>
      <w:r>
        <w:rPr>
          <w:rFonts w:hint="eastAsia"/>
          <w:color w:val="000000"/>
          <w:sz w:val="18"/>
          <w:highlight w:val="none"/>
          <w:lang w:val="en-US" w:eastAsia="zh-CN"/>
        </w:rPr>
        <w:t>2</w:t>
      </w:r>
      <w:r>
        <w:rPr>
          <w:rFonts w:hint="default"/>
          <w:color w:val="000000"/>
          <w:sz w:val="18"/>
          <w:highlight w:val="none"/>
        </w:rPr>
        <w:t>日</w:t>
      </w:r>
      <w:r>
        <w:rPr>
          <w:rFonts w:hint="eastAsia"/>
          <w:color w:val="000000"/>
          <w:sz w:val="18"/>
          <w:highlight w:val="none"/>
        </w:rPr>
        <w:t>，如发生下列情形之一的，温州银行有权但无义务终止理财计划：</w:t>
      </w:r>
    </w:p>
    <w:p>
      <w:pPr>
        <w:numPr>
          <w:ilvl w:val="0"/>
          <w:numId w:val="2"/>
        </w:numPr>
        <w:adjustRightInd w:val="0"/>
        <w:snapToGrid w:val="0"/>
        <w:spacing w:line="286" w:lineRule="auto"/>
        <w:rPr>
          <w:sz w:val="18"/>
          <w:szCs w:val="18"/>
          <w:highlight w:val="none"/>
        </w:rPr>
      </w:pPr>
      <w:r>
        <w:rPr>
          <w:rFonts w:hint="eastAsia"/>
          <w:sz w:val="18"/>
          <w:szCs w:val="18"/>
          <w:highlight w:val="none"/>
        </w:rPr>
        <w:t>如遇国家金融政策出现重大调整并影响到本产品的正常运行时，银行有权提前终止本产品。</w:t>
      </w:r>
    </w:p>
    <w:p>
      <w:pPr>
        <w:adjustRightInd w:val="0"/>
        <w:snapToGrid w:val="0"/>
        <w:spacing w:line="286" w:lineRule="auto"/>
        <w:rPr>
          <w:sz w:val="18"/>
          <w:szCs w:val="18"/>
          <w:highlight w:val="none"/>
        </w:rPr>
      </w:pPr>
      <w:r>
        <w:rPr>
          <w:rFonts w:hint="eastAsia"/>
          <w:color w:val="000000"/>
          <w:sz w:val="18"/>
          <w:highlight w:val="none"/>
        </w:rPr>
        <w:t>（2）因本理财产品投向的金融资产所涉及的相关主体信用恶化，市场利率大幅下滑，温州银行合理判断将影响本理财产品正常运作的</w:t>
      </w:r>
      <w:r>
        <w:rPr>
          <w:rFonts w:hint="eastAsia"/>
          <w:sz w:val="18"/>
          <w:szCs w:val="18"/>
          <w:highlight w:val="none"/>
        </w:rPr>
        <w:t>，或温州银行有合理理由认为出现了影响本理财计划正常运作的其他情形的</w:t>
      </w:r>
      <w:r>
        <w:rPr>
          <w:rFonts w:hint="eastAsia"/>
          <w:color w:val="000000"/>
          <w:sz w:val="18"/>
          <w:highlight w:val="none"/>
        </w:rPr>
        <w:t>。</w:t>
      </w:r>
    </w:p>
    <w:p>
      <w:pPr>
        <w:adjustRightInd w:val="0"/>
        <w:snapToGrid w:val="0"/>
        <w:spacing w:line="286" w:lineRule="auto"/>
        <w:rPr>
          <w:sz w:val="18"/>
          <w:szCs w:val="18"/>
          <w:highlight w:val="none"/>
        </w:rPr>
      </w:pPr>
      <w:r>
        <w:rPr>
          <w:rFonts w:hint="eastAsia"/>
          <w:sz w:val="18"/>
          <w:szCs w:val="18"/>
          <w:highlight w:val="none"/>
        </w:rPr>
        <w:t>5、相关费用</w:t>
      </w:r>
    </w:p>
    <w:p>
      <w:pPr>
        <w:adjustRightInd w:val="0"/>
        <w:snapToGrid w:val="0"/>
        <w:spacing w:line="286" w:lineRule="auto"/>
        <w:rPr>
          <w:sz w:val="18"/>
          <w:szCs w:val="18"/>
          <w:highlight w:val="none"/>
        </w:rPr>
      </w:pPr>
      <w:r>
        <w:rPr>
          <w:rFonts w:hint="eastAsia"/>
          <w:sz w:val="18"/>
          <w:szCs w:val="18"/>
          <w:highlight w:val="none"/>
        </w:rPr>
        <w:t>（1）理财管理人的固定管理费</w:t>
      </w:r>
    </w:p>
    <w:p>
      <w:pPr>
        <w:adjustRightInd w:val="0"/>
        <w:snapToGrid w:val="0"/>
        <w:spacing w:line="286" w:lineRule="auto"/>
        <w:rPr>
          <w:sz w:val="18"/>
          <w:szCs w:val="18"/>
          <w:highlight w:val="none"/>
        </w:rPr>
      </w:pPr>
      <w:r>
        <w:rPr>
          <w:rFonts w:hint="eastAsia"/>
          <w:sz w:val="18"/>
          <w:szCs w:val="18"/>
          <w:highlight w:val="none"/>
        </w:rPr>
        <w:t>理财管理人对委托资产收取的固定管理费，理财计划财产的年固定管理费率为0.8%（最高），计算方法如下：</w:t>
      </w:r>
    </w:p>
    <w:p>
      <w:pPr>
        <w:adjustRightInd w:val="0"/>
        <w:snapToGrid w:val="0"/>
        <w:spacing w:line="288" w:lineRule="auto"/>
        <w:rPr>
          <w:rFonts w:hint="eastAsia"/>
          <w:sz w:val="18"/>
          <w:szCs w:val="18"/>
          <w:highlight w:val="none"/>
        </w:rPr>
      </w:pPr>
      <w:r>
        <w:rPr>
          <w:rFonts w:hint="eastAsia"/>
          <w:sz w:val="18"/>
          <w:szCs w:val="18"/>
          <w:highlight w:val="none"/>
        </w:rPr>
        <w:t>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期末累计单位净值年化增长率超过业绩比较基准，则温州银行按0</w:t>
      </w:r>
      <w:r>
        <w:rPr>
          <w:sz w:val="18"/>
          <w:szCs w:val="18"/>
          <w:highlight w:val="none"/>
        </w:rPr>
        <w:t>.</w:t>
      </w:r>
      <w:r>
        <w:rPr>
          <w:rFonts w:hint="eastAsia"/>
          <w:sz w:val="18"/>
          <w:szCs w:val="18"/>
          <w:highlight w:val="none"/>
        </w:rPr>
        <w:t>8%（年化）收取固定管理费；若本理财产品扣除产品固定管理费、托管费及其他费用（如有）后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期末累计单位净值年化增长率低于业绩比较基准，则温州银行将减免与业绩比较基准的差额部分，减免上限最高不超过0</w:t>
      </w:r>
      <w:r>
        <w:rPr>
          <w:sz w:val="18"/>
          <w:szCs w:val="18"/>
          <w:highlight w:val="none"/>
        </w:rPr>
        <w:t>.</w:t>
      </w:r>
      <w:r>
        <w:rPr>
          <w:rFonts w:hint="eastAsia"/>
          <w:sz w:val="18"/>
          <w:szCs w:val="18"/>
          <w:highlight w:val="none"/>
        </w:rPr>
        <w:t>8%（年化）</w:t>
      </w:r>
      <w:r>
        <w:rPr>
          <w:sz w:val="18"/>
          <w:szCs w:val="18"/>
          <w:highlight w:val="none"/>
        </w:rPr>
        <w:t>。</w:t>
      </w:r>
      <w:r>
        <w:rPr>
          <w:rFonts w:hint="eastAsia"/>
          <w:sz w:val="18"/>
          <w:szCs w:val="18"/>
          <w:highlight w:val="none"/>
        </w:rPr>
        <w:t>计算方法如下：</w:t>
      </w:r>
    </w:p>
    <w:p>
      <w:pPr>
        <w:adjustRightInd w:val="0"/>
        <w:snapToGrid w:val="0"/>
        <w:spacing w:line="286" w:lineRule="auto"/>
        <w:rPr>
          <w:sz w:val="18"/>
          <w:szCs w:val="18"/>
          <w:highlight w:val="none"/>
        </w:rPr>
      </w:pPr>
      <w:r>
        <w:rPr>
          <w:rFonts w:hint="eastAsia"/>
          <w:sz w:val="18"/>
          <w:szCs w:val="18"/>
          <w:highlight w:val="none"/>
        </w:rPr>
        <w:t>H＝E×固定管理费率÷365</w:t>
      </w:r>
    </w:p>
    <w:p>
      <w:pPr>
        <w:adjustRightInd w:val="0"/>
        <w:snapToGrid w:val="0"/>
        <w:spacing w:line="286" w:lineRule="auto"/>
        <w:rPr>
          <w:sz w:val="18"/>
          <w:szCs w:val="18"/>
          <w:highlight w:val="none"/>
        </w:rPr>
      </w:pPr>
      <w:r>
        <w:rPr>
          <w:rFonts w:hint="eastAsia"/>
          <w:sz w:val="18"/>
          <w:szCs w:val="18"/>
          <w:highlight w:val="none"/>
        </w:rPr>
        <w:t>H为每日应计提的固定管理费</w:t>
      </w:r>
    </w:p>
    <w:p>
      <w:pPr>
        <w:adjustRightInd w:val="0"/>
        <w:snapToGrid w:val="0"/>
        <w:spacing w:line="286" w:lineRule="auto"/>
        <w:rPr>
          <w:sz w:val="18"/>
          <w:szCs w:val="18"/>
          <w:highlight w:val="none"/>
        </w:rPr>
      </w:pPr>
      <w:r>
        <w:rPr>
          <w:rFonts w:hint="eastAsia"/>
          <w:sz w:val="18"/>
          <w:szCs w:val="18"/>
          <w:highlight w:val="none"/>
        </w:rPr>
        <w:t>E为本计划前一日资产净值</w:t>
      </w:r>
    </w:p>
    <w:p>
      <w:pPr>
        <w:adjustRightInd w:val="0"/>
        <w:snapToGrid w:val="0"/>
        <w:spacing w:line="286" w:lineRule="auto"/>
        <w:rPr>
          <w:sz w:val="18"/>
          <w:szCs w:val="18"/>
          <w:highlight w:val="none"/>
        </w:rPr>
      </w:pPr>
      <w:r>
        <w:rPr>
          <w:rFonts w:hint="eastAsia"/>
          <w:sz w:val="18"/>
          <w:szCs w:val="18"/>
          <w:highlight w:val="none"/>
        </w:rPr>
        <w:t>第一日固定管理费为第一日委托资产本金×固定管理费率÷</w:t>
      </w:r>
      <w:r>
        <w:rPr>
          <w:sz w:val="18"/>
          <w:szCs w:val="18"/>
          <w:highlight w:val="none"/>
        </w:rPr>
        <w:t>365</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固定管理费原则上按日计提，逐日累计至到期日从理财计划财产中扣除。</w:t>
      </w:r>
    </w:p>
    <w:p>
      <w:pPr>
        <w:adjustRightInd w:val="0"/>
        <w:snapToGrid w:val="0"/>
        <w:spacing w:line="286" w:lineRule="auto"/>
        <w:rPr>
          <w:sz w:val="18"/>
          <w:szCs w:val="18"/>
          <w:highlight w:val="none"/>
        </w:rPr>
      </w:pPr>
      <w:r>
        <w:rPr>
          <w:rFonts w:hint="eastAsia"/>
          <w:sz w:val="18"/>
          <w:szCs w:val="18"/>
          <w:highlight w:val="none"/>
        </w:rPr>
        <w:t>（2）理财托管人的托管费</w:t>
      </w:r>
    </w:p>
    <w:p>
      <w:pPr>
        <w:adjustRightInd w:val="0"/>
        <w:snapToGrid w:val="0"/>
        <w:spacing w:line="286" w:lineRule="auto"/>
        <w:rPr>
          <w:sz w:val="18"/>
          <w:szCs w:val="18"/>
          <w:highlight w:val="none"/>
        </w:rPr>
      </w:pPr>
      <w:r>
        <w:rPr>
          <w:rFonts w:hint="eastAsia"/>
          <w:sz w:val="18"/>
          <w:szCs w:val="18"/>
          <w:highlight w:val="none"/>
        </w:rPr>
        <w:t>理财计划财产的年托管费率为0.005%，计算方法如下：</w:t>
      </w:r>
    </w:p>
    <w:p>
      <w:pPr>
        <w:adjustRightInd w:val="0"/>
        <w:snapToGrid w:val="0"/>
        <w:spacing w:line="286" w:lineRule="auto"/>
        <w:rPr>
          <w:sz w:val="18"/>
          <w:szCs w:val="18"/>
          <w:highlight w:val="none"/>
        </w:rPr>
      </w:pPr>
      <w:r>
        <w:rPr>
          <w:rFonts w:hint="eastAsia"/>
          <w:sz w:val="18"/>
          <w:szCs w:val="18"/>
          <w:highlight w:val="none"/>
        </w:rPr>
        <w:t>H＝E×0.005％÷365</w:t>
      </w:r>
    </w:p>
    <w:p>
      <w:pPr>
        <w:adjustRightInd w:val="0"/>
        <w:snapToGrid w:val="0"/>
        <w:spacing w:line="286" w:lineRule="auto"/>
        <w:rPr>
          <w:sz w:val="18"/>
          <w:szCs w:val="18"/>
          <w:highlight w:val="none"/>
        </w:rPr>
      </w:pPr>
      <w:r>
        <w:rPr>
          <w:rFonts w:hint="eastAsia"/>
          <w:sz w:val="18"/>
          <w:szCs w:val="18"/>
          <w:highlight w:val="none"/>
        </w:rPr>
        <w:t>H为每日应计提的托管费</w:t>
      </w:r>
    </w:p>
    <w:p>
      <w:pPr>
        <w:adjustRightInd w:val="0"/>
        <w:snapToGrid w:val="0"/>
        <w:spacing w:line="286" w:lineRule="auto"/>
        <w:rPr>
          <w:sz w:val="18"/>
          <w:szCs w:val="18"/>
          <w:highlight w:val="none"/>
        </w:rPr>
      </w:pPr>
      <w:r>
        <w:rPr>
          <w:rFonts w:hint="eastAsia"/>
          <w:sz w:val="18"/>
          <w:szCs w:val="18"/>
          <w:highlight w:val="none"/>
        </w:rPr>
        <w:t>E为本计划前一日资产净值</w:t>
      </w:r>
    </w:p>
    <w:p>
      <w:pPr>
        <w:adjustRightInd w:val="0"/>
        <w:snapToGrid w:val="0"/>
        <w:spacing w:line="286" w:lineRule="auto"/>
        <w:rPr>
          <w:sz w:val="18"/>
          <w:szCs w:val="18"/>
          <w:highlight w:val="none"/>
        </w:rPr>
      </w:pPr>
      <w:r>
        <w:rPr>
          <w:rFonts w:hint="eastAsia"/>
          <w:sz w:val="18"/>
          <w:szCs w:val="18"/>
          <w:highlight w:val="none"/>
        </w:rPr>
        <w:t>第一日托管费为第一日委托资产本金×托管费率÷</w:t>
      </w:r>
      <w:r>
        <w:rPr>
          <w:sz w:val="18"/>
          <w:szCs w:val="18"/>
          <w:highlight w:val="none"/>
        </w:rPr>
        <w:t>365</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托管费原则上按日计提，逐日累计至到期日从理财计划财产中扣除。</w:t>
      </w:r>
    </w:p>
    <w:p>
      <w:pPr>
        <w:adjustRightInd w:val="0"/>
        <w:snapToGrid w:val="0"/>
        <w:spacing w:line="286" w:lineRule="auto"/>
        <w:rPr>
          <w:sz w:val="18"/>
          <w:szCs w:val="18"/>
          <w:highlight w:val="none"/>
        </w:rPr>
      </w:pPr>
      <w:r>
        <w:rPr>
          <w:rFonts w:hint="eastAsia"/>
          <w:sz w:val="18"/>
          <w:szCs w:val="18"/>
          <w:highlight w:val="none"/>
        </w:rPr>
        <w:t>（3）浮动管理费</w:t>
      </w:r>
    </w:p>
    <w:p>
      <w:pPr>
        <w:adjustRightInd w:val="0"/>
        <w:snapToGrid w:val="0"/>
        <w:spacing w:line="286" w:lineRule="auto"/>
        <w:rPr>
          <w:sz w:val="18"/>
          <w:szCs w:val="18"/>
          <w:highlight w:val="none"/>
        </w:rPr>
      </w:pPr>
      <w:r>
        <w:rPr>
          <w:rFonts w:hint="eastAsia"/>
          <w:sz w:val="18"/>
          <w:szCs w:val="18"/>
          <w:highlight w:val="none"/>
        </w:rPr>
        <w:t>投资管理人根据理财计划投资情况计算浮动管理费，扣除托管费、固定管理费（如有）、销售费用及其他费用（如有）后，本理财产品到期日（提前终止日）的折合年化收益率超过业绩比较基准的部分管理人提取8</w:t>
      </w:r>
      <w:r>
        <w:rPr>
          <w:sz w:val="18"/>
          <w:szCs w:val="18"/>
          <w:highlight w:val="none"/>
        </w:rPr>
        <w:t>0</w:t>
      </w:r>
      <w:r>
        <w:rPr>
          <w:rFonts w:hint="eastAsia"/>
          <w:sz w:val="18"/>
          <w:szCs w:val="18"/>
          <w:highlight w:val="none"/>
        </w:rPr>
        <w:t>%作为浮动管理费；本理财产品到期日（提前终止日）的折合年化收益率若小于或等于业绩比较基准则不收取浮动管理费。</w:t>
      </w:r>
    </w:p>
    <w:p>
      <w:pPr>
        <w:adjustRightInd w:val="0"/>
        <w:snapToGrid w:val="0"/>
        <w:spacing w:line="286" w:lineRule="auto"/>
        <w:rPr>
          <w:sz w:val="18"/>
          <w:szCs w:val="18"/>
          <w:highlight w:val="none"/>
        </w:rPr>
      </w:pPr>
      <w:r>
        <w:rPr>
          <w:rFonts w:hint="eastAsia"/>
          <w:sz w:val="18"/>
          <w:szCs w:val="18"/>
          <w:highlight w:val="none"/>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highlight w:val="none"/>
        </w:rPr>
      </w:pPr>
      <w:r>
        <w:rPr>
          <w:rFonts w:hint="eastAsia"/>
          <w:sz w:val="18"/>
          <w:szCs w:val="18"/>
          <w:highlight w:val="none"/>
        </w:rPr>
        <w:t>6、投资者所得收益</w:t>
      </w:r>
    </w:p>
    <w:p>
      <w:pPr>
        <w:adjustRightInd w:val="0"/>
        <w:snapToGrid w:val="0"/>
        <w:spacing w:line="286" w:lineRule="auto"/>
        <w:rPr>
          <w:sz w:val="18"/>
          <w:szCs w:val="18"/>
          <w:highlight w:val="none"/>
        </w:rPr>
      </w:pPr>
      <w:r>
        <w:rPr>
          <w:rFonts w:hint="eastAsia"/>
          <w:sz w:val="18"/>
          <w:szCs w:val="18"/>
          <w:highlight w:val="none"/>
        </w:rPr>
        <w:t>（1）计算公式</w:t>
      </w:r>
    </w:p>
    <w:p>
      <w:pPr>
        <w:adjustRightInd w:val="0"/>
        <w:snapToGrid w:val="0"/>
        <w:spacing w:line="286" w:lineRule="auto"/>
        <w:rPr>
          <w:rFonts w:hint="eastAsia"/>
          <w:sz w:val="18"/>
          <w:szCs w:val="18"/>
          <w:highlight w:val="none"/>
        </w:rPr>
      </w:pPr>
      <w:r>
        <w:rPr>
          <w:rFonts w:hint="eastAsia"/>
          <w:sz w:val="18"/>
          <w:szCs w:val="18"/>
          <w:highlight w:val="none"/>
        </w:rPr>
        <w:t>投资者理财收益＝认购份额×到期日（提前终止日）理财产品单位净值（扣除浮动管理费后）—认购金额。</w:t>
      </w:r>
    </w:p>
    <w:p>
      <w:pPr>
        <w:numPr>
          <w:ilvl w:val="0"/>
          <w:numId w:val="2"/>
        </w:numPr>
        <w:adjustRightInd w:val="0"/>
        <w:snapToGrid w:val="0"/>
        <w:spacing w:line="286" w:lineRule="auto"/>
        <w:ind w:left="0" w:leftChars="0" w:firstLine="0" w:firstLineChars="0"/>
        <w:rPr>
          <w:rFonts w:hint="eastAsia"/>
          <w:b/>
          <w:bCs/>
          <w:sz w:val="18"/>
          <w:szCs w:val="18"/>
          <w:highlight w:val="none"/>
        </w:rPr>
      </w:pPr>
      <w:r>
        <w:rPr>
          <w:rFonts w:hint="eastAsia"/>
          <w:b/>
          <w:bCs/>
          <w:sz w:val="18"/>
          <w:szCs w:val="18"/>
          <w:highlight w:val="none"/>
        </w:rPr>
        <w:t>计算示例</w:t>
      </w:r>
    </w:p>
    <w:p>
      <w:pPr>
        <w:adjustRightInd w:val="0"/>
        <w:snapToGrid w:val="0"/>
        <w:spacing w:line="286" w:lineRule="auto"/>
        <w:rPr>
          <w:rFonts w:hint="eastAsia"/>
          <w:sz w:val="18"/>
          <w:szCs w:val="18"/>
          <w:highlight w:val="none"/>
        </w:rPr>
      </w:pPr>
      <w:r>
        <w:rPr>
          <w:rFonts w:hint="eastAsia"/>
          <w:sz w:val="18"/>
          <w:szCs w:val="18"/>
          <w:highlight w:val="none"/>
        </w:rPr>
        <w:t>示例一：扣除托管费、销售服务费、固定管理费（如有）及其他费用（如有）后，投资收益率超越业绩比较基准。</w:t>
      </w:r>
    </w:p>
    <w:p>
      <w:pPr>
        <w:adjustRightInd w:val="0"/>
        <w:snapToGrid w:val="0"/>
        <w:spacing w:line="286" w:lineRule="auto"/>
        <w:rPr>
          <w:rFonts w:hint="eastAsia"/>
          <w:sz w:val="18"/>
          <w:szCs w:val="18"/>
          <w:highlight w:val="none"/>
        </w:rPr>
      </w:pPr>
      <w:r>
        <w:rPr>
          <w:rFonts w:hint="eastAsia"/>
          <w:sz w:val="18"/>
          <w:szCs w:val="18"/>
          <w:highlight w:val="none"/>
        </w:rPr>
        <w:t>以某客户投资100万元为例，购买时产品净值为1.00元，折算份额为1,000,000.00份,理财期限为601天。假设产品业绩比较基准为</w:t>
      </w:r>
      <w:r>
        <w:rPr>
          <w:rFonts w:hint="eastAsia"/>
          <w:sz w:val="18"/>
          <w:szCs w:val="18"/>
          <w:highlight w:val="none"/>
          <w:lang w:eastAsia="zh-CN"/>
        </w:rPr>
        <w:t>3.7%</w:t>
      </w:r>
      <w:r>
        <w:rPr>
          <w:rFonts w:hint="eastAsia"/>
          <w:sz w:val="18"/>
          <w:szCs w:val="18"/>
          <w:highlight w:val="none"/>
        </w:rPr>
        <w:t>。到期时扣除托管费、销售服务费、固定管理费及其他费用（如有）后，如产品净值为1.07，此时，(1.07/1.00-1)×365/601=4.25%&gt;</w:t>
      </w:r>
      <w:r>
        <w:rPr>
          <w:rFonts w:hint="eastAsia"/>
          <w:sz w:val="18"/>
          <w:szCs w:val="18"/>
          <w:highlight w:val="none"/>
          <w:lang w:eastAsia="zh-CN"/>
        </w:rPr>
        <w:t>3.7%</w:t>
      </w:r>
      <w:r>
        <w:rPr>
          <w:rFonts w:hint="eastAsia"/>
          <w:sz w:val="18"/>
          <w:szCs w:val="18"/>
          <w:highlight w:val="none"/>
        </w:rPr>
        <w:t>，即投资收益超越业绩比较基准，则投资管理人对超过业绩比较基准部分收益收取浮动管理费，浮动管理费为：1,000,000.00×[1.07-1.00×(1+</w:t>
      </w:r>
      <w:r>
        <w:rPr>
          <w:rFonts w:hint="eastAsia"/>
          <w:sz w:val="18"/>
          <w:szCs w:val="18"/>
          <w:highlight w:val="none"/>
          <w:lang w:eastAsia="zh-CN"/>
        </w:rPr>
        <w:t>3.7%</w:t>
      </w:r>
      <w:r>
        <w:rPr>
          <w:rFonts w:hint="eastAsia"/>
          <w:sz w:val="18"/>
          <w:szCs w:val="18"/>
          <w:highlight w:val="none"/>
        </w:rPr>
        <w:t>×601/365)]×80%=</w:t>
      </w:r>
      <w:r>
        <w:rPr>
          <w:rFonts w:hint="eastAsia"/>
          <w:sz w:val="18"/>
          <w:szCs w:val="18"/>
          <w:highlight w:val="none"/>
          <w:lang w:val="en-US" w:eastAsia="zh-CN"/>
        </w:rPr>
        <w:t>7261</w:t>
      </w:r>
      <w:r>
        <w:rPr>
          <w:rFonts w:hint="eastAsia"/>
          <w:sz w:val="18"/>
          <w:szCs w:val="18"/>
          <w:highlight w:val="none"/>
        </w:rPr>
        <w:t>.</w:t>
      </w:r>
      <w:r>
        <w:rPr>
          <w:rFonts w:hint="eastAsia"/>
          <w:sz w:val="18"/>
          <w:szCs w:val="18"/>
          <w:highlight w:val="none"/>
          <w:lang w:val="en-US" w:eastAsia="zh-CN"/>
        </w:rPr>
        <w:t>37</w:t>
      </w:r>
      <w:r>
        <w:rPr>
          <w:rFonts w:hint="eastAsia"/>
          <w:sz w:val="18"/>
          <w:szCs w:val="18"/>
          <w:highlight w:val="none"/>
        </w:rPr>
        <w:t>（元）。扣除浮动管理费后，客户最终收益为：1,000,000.00×（1.07-1.00）-</w:t>
      </w:r>
      <w:r>
        <w:rPr>
          <w:rFonts w:hint="eastAsia"/>
          <w:sz w:val="18"/>
          <w:szCs w:val="18"/>
          <w:highlight w:val="none"/>
          <w:lang w:val="en-US" w:eastAsia="zh-CN"/>
        </w:rPr>
        <w:t>7261.37</w:t>
      </w:r>
      <w:r>
        <w:rPr>
          <w:rFonts w:hint="eastAsia"/>
          <w:sz w:val="18"/>
          <w:szCs w:val="18"/>
          <w:highlight w:val="none"/>
        </w:rPr>
        <w:t>=</w:t>
      </w:r>
      <w:r>
        <w:rPr>
          <w:rFonts w:hint="eastAsia"/>
          <w:sz w:val="18"/>
          <w:szCs w:val="18"/>
          <w:highlight w:val="none"/>
          <w:lang w:val="en-US" w:eastAsia="zh-CN"/>
        </w:rPr>
        <w:t>62738.63</w:t>
      </w:r>
      <w:r>
        <w:rPr>
          <w:rFonts w:hint="eastAsia"/>
          <w:sz w:val="18"/>
          <w:szCs w:val="18"/>
          <w:highlight w:val="none"/>
        </w:rPr>
        <w:t>（元），产品到期时，客户获得的实际收益相当于达到年化收益率水平为：</w:t>
      </w:r>
      <w:r>
        <w:rPr>
          <w:rFonts w:hint="eastAsia"/>
          <w:sz w:val="18"/>
          <w:szCs w:val="18"/>
          <w:highlight w:val="none"/>
          <w:lang w:val="en-US" w:eastAsia="zh-CN"/>
        </w:rPr>
        <w:t>62738.63</w:t>
      </w:r>
      <w:r>
        <w:rPr>
          <w:rFonts w:hint="eastAsia"/>
          <w:sz w:val="18"/>
          <w:szCs w:val="18"/>
          <w:highlight w:val="none"/>
        </w:rPr>
        <w:t>/1,000,000.00×365/601=3.8</w:t>
      </w:r>
      <w:r>
        <w:rPr>
          <w:rFonts w:hint="eastAsia"/>
          <w:sz w:val="18"/>
          <w:szCs w:val="18"/>
          <w:highlight w:val="none"/>
          <w:lang w:val="en-US" w:eastAsia="zh-CN"/>
        </w:rPr>
        <w:t>1</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示例二：扣除托管费、销售服务费、固定管理费（如有）及其他费用（如有）后，投资收益率未达到业绩比较基准。</w:t>
      </w:r>
    </w:p>
    <w:p>
      <w:pPr>
        <w:adjustRightInd w:val="0"/>
        <w:snapToGrid w:val="0"/>
        <w:spacing w:line="286" w:lineRule="auto"/>
        <w:rPr>
          <w:rFonts w:hint="eastAsia"/>
          <w:sz w:val="18"/>
          <w:szCs w:val="18"/>
          <w:highlight w:val="none"/>
        </w:rPr>
      </w:pPr>
      <w:r>
        <w:rPr>
          <w:rFonts w:hint="eastAsia"/>
          <w:sz w:val="18"/>
          <w:szCs w:val="18"/>
          <w:highlight w:val="none"/>
        </w:rPr>
        <w:t>以某客户投资100万元为例，购买时产品净值为1.00元，折算份额为1,000,000.00份,理财期限为601天。假设产品业绩比较基准为</w:t>
      </w:r>
      <w:r>
        <w:rPr>
          <w:rFonts w:hint="eastAsia"/>
          <w:sz w:val="18"/>
          <w:szCs w:val="18"/>
          <w:highlight w:val="none"/>
          <w:lang w:eastAsia="zh-CN"/>
        </w:rPr>
        <w:t>3.7%</w:t>
      </w:r>
      <w:r>
        <w:rPr>
          <w:rFonts w:hint="eastAsia"/>
          <w:sz w:val="18"/>
          <w:szCs w:val="18"/>
          <w:highlight w:val="none"/>
        </w:rPr>
        <w:t>。到期时扣除托管费、销售服务费、固定管理费及其他费用（如有）后，如产品净值为1.06，此时，(1.06/1.00-1)×365/601=3.64%&lt;</w:t>
      </w:r>
      <w:r>
        <w:rPr>
          <w:rFonts w:hint="eastAsia"/>
          <w:sz w:val="18"/>
          <w:szCs w:val="18"/>
          <w:highlight w:val="none"/>
          <w:lang w:eastAsia="zh-CN"/>
        </w:rPr>
        <w:t>3.7%</w:t>
      </w:r>
      <w:r>
        <w:rPr>
          <w:rFonts w:hint="eastAsia"/>
          <w:sz w:val="18"/>
          <w:szCs w:val="18"/>
          <w:highlight w:val="none"/>
        </w:rPr>
        <w:t>，即投资收益未达到业绩比较基准，则投资管理人不收取浮动管理费，客户最终收益为：1,000,000.00×(1.06-1.00）=60000.00（元）。</w:t>
      </w:r>
    </w:p>
    <w:p>
      <w:pPr>
        <w:adjustRightInd w:val="0"/>
        <w:snapToGrid w:val="0"/>
        <w:spacing w:line="286" w:lineRule="auto"/>
        <w:rPr>
          <w:rFonts w:hint="eastAsia"/>
          <w:sz w:val="18"/>
          <w:szCs w:val="18"/>
          <w:highlight w:val="none"/>
        </w:rPr>
      </w:pPr>
      <w:r>
        <w:rPr>
          <w:rFonts w:hint="eastAsia"/>
          <w:sz w:val="18"/>
          <w:szCs w:val="18"/>
          <w:highlight w:val="none"/>
        </w:rPr>
        <w:t>示例三：最不利情况，扣除托管费、销售服务费、固定管理费（如有）及其他费用（如有）后，投资发生亏损。</w:t>
      </w:r>
    </w:p>
    <w:p>
      <w:pPr>
        <w:adjustRightInd w:val="0"/>
        <w:snapToGrid w:val="0"/>
        <w:spacing w:line="286" w:lineRule="auto"/>
        <w:rPr>
          <w:rFonts w:hint="eastAsia"/>
          <w:sz w:val="18"/>
          <w:szCs w:val="18"/>
          <w:highlight w:val="none"/>
        </w:rPr>
      </w:pPr>
      <w:r>
        <w:rPr>
          <w:rFonts w:hint="eastAsia"/>
          <w:sz w:val="18"/>
          <w:szCs w:val="18"/>
          <w:highlight w:val="none"/>
        </w:rPr>
        <w:t>以某客户投资100万元为例，购买时产品净值为1.00元，折算份额为1,000,000.00份，理财期限为601天。假设产品业绩比较基准为</w:t>
      </w:r>
      <w:r>
        <w:rPr>
          <w:rFonts w:hint="eastAsia"/>
          <w:sz w:val="18"/>
          <w:szCs w:val="18"/>
          <w:highlight w:val="none"/>
          <w:lang w:eastAsia="zh-CN"/>
        </w:rPr>
        <w:t>3.7%</w:t>
      </w:r>
      <w:r>
        <w:rPr>
          <w:rFonts w:hint="eastAsia"/>
          <w:sz w:val="18"/>
          <w:szCs w:val="18"/>
          <w:highlight w:val="none"/>
        </w:rPr>
        <w:t>，到期时扣除托管费、销售服务费、固定管理费及其他费用（如有）后，如产品净值为0.998，则投资管理人不收取浮动管理费，客户最终收益为：1,000,000.00×（0.998-1.00）=-2000.00（元）。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highlight w:val="none"/>
        </w:rPr>
      </w:pPr>
      <w:r>
        <w:rPr>
          <w:rFonts w:hint="eastAsia"/>
          <w:sz w:val="18"/>
          <w:szCs w:val="18"/>
          <w:highlight w:val="none"/>
        </w:rPr>
        <w:t>7、本金及理财收益风险</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）本理财计划不保障本金及收益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）风险示例</w:t>
      </w:r>
    </w:p>
    <w:p>
      <w:pPr>
        <w:adjustRightInd w:val="0"/>
        <w:snapToGrid w:val="0"/>
        <w:spacing w:line="286" w:lineRule="auto"/>
        <w:rPr>
          <w:sz w:val="18"/>
          <w:szCs w:val="18"/>
          <w:highlight w:val="none"/>
        </w:rPr>
      </w:pPr>
      <w:r>
        <w:rPr>
          <w:rFonts w:hint="eastAsia"/>
          <w:sz w:val="18"/>
          <w:szCs w:val="18"/>
          <w:highlight w:val="none"/>
        </w:rPr>
        <w:t>本理财计划本金及实际理财年化收益率取决于所投资资产组合的收益率水平，受</w:t>
      </w:r>
      <w:r>
        <w:rPr>
          <w:rFonts w:ascii="宋体" w:hAnsi="宋体"/>
          <w:sz w:val="18"/>
          <w:szCs w:val="18"/>
          <w:highlight w:val="none"/>
        </w:rPr>
        <w:t>债券市场</w:t>
      </w:r>
      <w:r>
        <w:rPr>
          <w:rFonts w:hint="eastAsia" w:ascii="宋体" w:hAnsi="宋体"/>
          <w:sz w:val="18"/>
          <w:szCs w:val="18"/>
          <w:highlight w:val="none"/>
        </w:rPr>
        <w:t>、资本市场</w:t>
      </w:r>
      <w:r>
        <w:rPr>
          <w:rFonts w:ascii="宋体" w:hAnsi="宋体"/>
          <w:sz w:val="18"/>
          <w:szCs w:val="18"/>
          <w:highlight w:val="none"/>
        </w:rPr>
        <w:t>变化或波动</w:t>
      </w:r>
      <w:r>
        <w:rPr>
          <w:rFonts w:hint="eastAsia"/>
          <w:sz w:val="18"/>
          <w:szCs w:val="18"/>
          <w:highlight w:val="none"/>
        </w:rPr>
        <w:t>，投资管理方投资能力有限等因素的影响。</w:t>
      </w:r>
    </w:p>
    <w:p>
      <w:pPr>
        <w:adjustRightInd w:val="0"/>
        <w:snapToGrid w:val="0"/>
        <w:spacing w:line="286" w:lineRule="auto"/>
        <w:rPr>
          <w:sz w:val="18"/>
          <w:szCs w:val="18"/>
          <w:highlight w:val="none"/>
        </w:rPr>
      </w:pPr>
      <w:r>
        <w:rPr>
          <w:rFonts w:hint="eastAsia"/>
          <w:sz w:val="18"/>
          <w:szCs w:val="18"/>
          <w:highlight w:val="none"/>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highlight w:val="none"/>
        </w:rPr>
      </w:pPr>
      <w:r>
        <w:rPr>
          <w:rFonts w:hint="eastAsia"/>
          <w:sz w:val="18"/>
          <w:szCs w:val="18"/>
          <w:highlight w:val="none"/>
        </w:rPr>
        <w:t>8、理财计划提前终止时投资者所得收益</w:t>
      </w:r>
    </w:p>
    <w:p>
      <w:pPr>
        <w:adjustRightInd w:val="0"/>
        <w:snapToGrid w:val="0"/>
        <w:spacing w:line="286" w:lineRule="auto"/>
        <w:rPr>
          <w:sz w:val="18"/>
          <w:szCs w:val="18"/>
          <w:highlight w:val="none"/>
        </w:rPr>
      </w:pPr>
      <w:r>
        <w:rPr>
          <w:rFonts w:hint="eastAsia"/>
          <w:sz w:val="18"/>
          <w:szCs w:val="18"/>
          <w:highlight w:val="none"/>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highlight w:val="none"/>
        </w:rPr>
      </w:pPr>
      <w:r>
        <w:rPr>
          <w:rFonts w:hint="eastAsia"/>
          <w:b/>
          <w:sz w:val="18"/>
          <w:szCs w:val="18"/>
          <w:highlight w:val="none"/>
        </w:rPr>
        <w:t>本金及理财收益支付</w:t>
      </w:r>
    </w:p>
    <w:p>
      <w:pPr>
        <w:numPr>
          <w:ilvl w:val="0"/>
          <w:numId w:val="3"/>
        </w:numPr>
        <w:adjustRightInd w:val="0"/>
        <w:snapToGrid w:val="0"/>
        <w:spacing w:line="286" w:lineRule="auto"/>
        <w:rPr>
          <w:sz w:val="18"/>
          <w:szCs w:val="18"/>
          <w:highlight w:val="none"/>
        </w:rPr>
      </w:pPr>
      <w:r>
        <w:rPr>
          <w:rFonts w:hint="eastAsia"/>
          <w:sz w:val="18"/>
          <w:szCs w:val="18"/>
          <w:highlight w:val="none"/>
        </w:rPr>
        <w:t>投资者持有本理财计划期间及到期时，温州银行不承诺保证本金安全且不保证理财收益，投资者在到期日的应得收益（如有）随投资盈亏水平浮动。</w:t>
      </w:r>
    </w:p>
    <w:p>
      <w:pPr>
        <w:numPr>
          <w:ilvl w:val="0"/>
          <w:numId w:val="3"/>
        </w:numPr>
        <w:adjustRightInd w:val="0"/>
        <w:snapToGrid w:val="0"/>
        <w:spacing w:line="286" w:lineRule="auto"/>
        <w:rPr>
          <w:sz w:val="18"/>
          <w:szCs w:val="18"/>
          <w:highlight w:val="none"/>
        </w:rPr>
      </w:pPr>
      <w:r>
        <w:rPr>
          <w:rFonts w:hint="eastAsia"/>
          <w:sz w:val="18"/>
          <w:szCs w:val="18"/>
          <w:highlight w:val="none"/>
        </w:rPr>
        <w:t>理财期满，</w:t>
      </w:r>
      <w:r>
        <w:rPr>
          <w:sz w:val="18"/>
          <w:szCs w:val="18"/>
          <w:highlight w:val="none"/>
        </w:rPr>
        <w:t>理财计划项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温州银行在到期日后</w:t>
      </w:r>
      <w:r>
        <w:rPr>
          <w:sz w:val="18"/>
          <w:szCs w:val="18"/>
          <w:highlight w:val="none"/>
        </w:rPr>
        <w:t>1</w:t>
      </w:r>
      <w:r>
        <w:rPr>
          <w:rFonts w:hint="eastAsia"/>
          <w:sz w:val="18"/>
          <w:szCs w:val="18"/>
          <w:highlight w:val="none"/>
        </w:rPr>
        <w:t>个工作日内对理财计划进行清算，并向托管人出具清算指令，托管人收到清算指令后将理财本金及理财收益划转至温州银行。温州银行在收到理财本金及理财收益后</w:t>
      </w:r>
      <w:r>
        <w:rPr>
          <w:sz w:val="18"/>
          <w:szCs w:val="18"/>
          <w:highlight w:val="none"/>
        </w:rPr>
        <w:t>1</w:t>
      </w:r>
      <w:r>
        <w:rPr>
          <w:rFonts w:hint="eastAsia"/>
          <w:sz w:val="18"/>
          <w:szCs w:val="18"/>
          <w:highlight w:val="none"/>
        </w:rPr>
        <w:t>个工作日内将投资者理财本金和应得收益划转至投资者指定资金账户。（上述自到期日到投资者收到理财本金和应得收益的过程一般情况下在</w:t>
      </w:r>
      <w:r>
        <w:rPr>
          <w:sz w:val="18"/>
          <w:szCs w:val="18"/>
          <w:highlight w:val="none"/>
        </w:rPr>
        <w:t>3</w:t>
      </w:r>
      <w:r>
        <w:rPr>
          <w:rFonts w:hint="eastAsia"/>
          <w:sz w:val="18"/>
          <w:szCs w:val="18"/>
          <w:highlight w:val="none"/>
        </w:rPr>
        <w:t>个工作日之内。）</w:t>
      </w:r>
    </w:p>
    <w:p>
      <w:pPr>
        <w:numPr>
          <w:ilvl w:val="0"/>
          <w:numId w:val="3"/>
        </w:numPr>
        <w:adjustRightInd w:val="0"/>
        <w:snapToGrid w:val="0"/>
        <w:spacing w:line="286" w:lineRule="auto"/>
        <w:rPr>
          <w:sz w:val="18"/>
          <w:szCs w:val="18"/>
          <w:highlight w:val="none"/>
        </w:rPr>
      </w:pPr>
      <w:r>
        <w:rPr>
          <w:rFonts w:hint="eastAsia"/>
          <w:sz w:val="18"/>
          <w:szCs w:val="18"/>
          <w:highlight w:val="none"/>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highlight w:val="none"/>
        </w:rPr>
        <w:t>工作日内</w:t>
      </w:r>
      <w:r>
        <w:rPr>
          <w:rFonts w:hint="eastAsia"/>
          <w:sz w:val="18"/>
          <w:szCs w:val="18"/>
          <w:highlight w:val="none"/>
        </w:rPr>
        <w:t>，扣除应由理财计划承担的费用</w:t>
      </w:r>
      <w:r>
        <w:rPr>
          <w:sz w:val="18"/>
          <w:szCs w:val="18"/>
          <w:highlight w:val="none"/>
        </w:rPr>
        <w:t>、</w:t>
      </w:r>
      <w:r>
        <w:rPr>
          <w:rFonts w:hint="eastAsia"/>
          <w:sz w:val="18"/>
          <w:szCs w:val="18"/>
          <w:highlight w:val="none"/>
        </w:rPr>
        <w:t>税费后向投资者分配。</w:t>
      </w:r>
    </w:p>
    <w:p>
      <w:pPr>
        <w:numPr>
          <w:ilvl w:val="0"/>
          <w:numId w:val="3"/>
        </w:numPr>
        <w:adjustRightInd w:val="0"/>
        <w:snapToGrid w:val="0"/>
        <w:spacing w:line="286" w:lineRule="auto"/>
        <w:rPr>
          <w:rFonts w:hint="eastAsia"/>
          <w:sz w:val="18"/>
          <w:szCs w:val="18"/>
          <w:highlight w:val="none"/>
        </w:rPr>
      </w:pPr>
      <w:r>
        <w:rPr>
          <w:rFonts w:hint="eastAsia"/>
          <w:sz w:val="18"/>
          <w:szCs w:val="18"/>
          <w:highlight w:val="none"/>
        </w:rPr>
        <w:t>如果温州银行提前终止理财计划，理财到期日也相应提前到理财计划实际终止日。</w:t>
      </w:r>
    </w:p>
    <w:p>
      <w:pPr>
        <w:adjustRightInd w:val="0"/>
        <w:snapToGrid w:val="0"/>
        <w:spacing w:line="286" w:lineRule="auto"/>
        <w:rPr>
          <w:b/>
          <w:sz w:val="18"/>
          <w:szCs w:val="18"/>
          <w:highlight w:val="none"/>
        </w:rPr>
      </w:pPr>
      <w:r>
        <w:rPr>
          <w:rFonts w:hint="eastAsia"/>
          <w:b/>
          <w:sz w:val="18"/>
          <w:szCs w:val="18"/>
          <w:highlight w:val="none"/>
        </w:rPr>
        <w:t>税费规定</w:t>
      </w:r>
    </w:p>
    <w:p>
      <w:pPr>
        <w:widowControl/>
        <w:adjustRightInd w:val="0"/>
        <w:snapToGrid w:val="0"/>
        <w:spacing w:line="286" w:lineRule="auto"/>
        <w:outlineLvl w:val="0"/>
        <w:rPr>
          <w:rFonts w:ascii="宋体" w:hAnsi="宋体" w:cs="宋体"/>
          <w:kern w:val="0"/>
          <w:sz w:val="18"/>
          <w:szCs w:val="18"/>
          <w:highlight w:val="none"/>
        </w:rPr>
      </w:pPr>
      <w:r>
        <w:rPr>
          <w:rFonts w:hint="eastAsia" w:ascii="宋体" w:hAnsi="宋体" w:cs="宋体"/>
          <w:kern w:val="0"/>
          <w:sz w:val="18"/>
          <w:szCs w:val="18"/>
          <w:highlight w:val="none"/>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highlight w:val="none"/>
        </w:rPr>
      </w:pPr>
      <w:r>
        <w:rPr>
          <w:rFonts w:hint="eastAsia"/>
          <w:b/>
          <w:sz w:val="18"/>
          <w:szCs w:val="18"/>
          <w:highlight w:val="none"/>
        </w:rPr>
        <w:t>风险提示</w:t>
      </w:r>
    </w:p>
    <w:p>
      <w:pPr>
        <w:adjustRightInd w:val="0"/>
        <w:snapToGrid w:val="0"/>
        <w:spacing w:line="286" w:lineRule="auto"/>
        <w:rPr>
          <w:sz w:val="18"/>
          <w:szCs w:val="18"/>
          <w:highlight w:val="none"/>
        </w:rPr>
      </w:pPr>
      <w:r>
        <w:rPr>
          <w:rFonts w:hint="eastAsia"/>
          <w:b/>
          <w:sz w:val="18"/>
          <w:szCs w:val="18"/>
          <w:highlight w:val="none"/>
        </w:rPr>
        <w:t>本理财计划是非保本型投资产品，您的本金可能会因市场变动而蒙受重大损失，您应充分认识以下投资风险，谨慎投资：</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理财本金及收益风险：本理财计划为非保本浮动收益理财计划，不保证本金及收益。理财计划本金及收益到期兑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highlight w:val="none"/>
        </w:rPr>
        <w:t>0</w:t>
      </w:r>
      <w:r>
        <w:rPr>
          <w:rFonts w:hint="eastAsia"/>
          <w:sz w:val="18"/>
          <w:szCs w:val="18"/>
          <w:highlight w:val="none"/>
        </w:rPr>
        <w:t>，甚至发生本金损失。则由此产生的理财本金及收益损失的风险由投资者自行承担。</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、管理风险：</w:t>
      </w:r>
      <w:r>
        <w:rPr>
          <w:sz w:val="18"/>
          <w:szCs w:val="18"/>
          <w:highlight w:val="none"/>
        </w:rPr>
        <w:t>在管理运作过程中，可能因</w:t>
      </w:r>
      <w:r>
        <w:rPr>
          <w:rFonts w:hint="eastAsia"/>
          <w:sz w:val="18"/>
          <w:szCs w:val="18"/>
          <w:highlight w:val="none"/>
        </w:rPr>
        <w:t>管理人（包括本理财产品的投资管理人、所投资的资产的管理人、相关投资顾问等）</w:t>
      </w:r>
      <w:r>
        <w:rPr>
          <w:sz w:val="18"/>
          <w:szCs w:val="18"/>
          <w:highlight w:val="none"/>
        </w:rPr>
        <w:t>对经济形势和证券市场等判断有误、获取的信息不全等影响</w:t>
      </w:r>
      <w:r>
        <w:rPr>
          <w:rFonts w:hint="eastAsia"/>
          <w:sz w:val="18"/>
          <w:szCs w:val="18"/>
          <w:highlight w:val="none"/>
        </w:rPr>
        <w:t>理财</w:t>
      </w:r>
      <w:r>
        <w:rPr>
          <w:sz w:val="18"/>
          <w:szCs w:val="18"/>
          <w:highlight w:val="none"/>
        </w:rPr>
        <w:t>的收益水平。</w:t>
      </w:r>
      <w:r>
        <w:rPr>
          <w:rFonts w:hint="eastAsia"/>
          <w:sz w:val="18"/>
          <w:szCs w:val="18"/>
          <w:highlight w:val="none"/>
        </w:rPr>
        <w:t>投资管理人的</w:t>
      </w:r>
      <w:r>
        <w:rPr>
          <w:sz w:val="18"/>
          <w:szCs w:val="18"/>
          <w:highlight w:val="none"/>
        </w:rPr>
        <w:t>管理水平、管理手段和管理技术等对</w:t>
      </w:r>
      <w:r>
        <w:rPr>
          <w:rFonts w:hint="eastAsia"/>
          <w:sz w:val="18"/>
          <w:szCs w:val="18"/>
          <w:highlight w:val="none"/>
        </w:rPr>
        <w:t>理财计划的</w:t>
      </w:r>
      <w:r>
        <w:rPr>
          <w:sz w:val="18"/>
          <w:szCs w:val="18"/>
          <w:highlight w:val="none"/>
        </w:rPr>
        <w:t>收益水平存在影响。</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rFonts w:hint="eastAsia" w:ascii="宋体" w:hAnsi="宋体"/>
          <w:sz w:val="18"/>
          <w:szCs w:val="18"/>
          <w:highlight w:val="none"/>
        </w:rPr>
      </w:pPr>
      <w:r>
        <w:rPr>
          <w:sz w:val="18"/>
          <w:szCs w:val="18"/>
          <w:highlight w:val="none"/>
        </w:rPr>
        <w:t>4</w:t>
      </w:r>
      <w:r>
        <w:rPr>
          <w:rFonts w:hint="eastAsia"/>
          <w:sz w:val="18"/>
          <w:szCs w:val="18"/>
          <w:highlight w:val="none"/>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highlight w:val="none"/>
          <w:u w:val="single"/>
        </w:rPr>
        <w:t>本理财计划在存续期内投资者不得提前赎回</w:t>
      </w:r>
      <w:r>
        <w:rPr>
          <w:rFonts w:hint="eastAsia"/>
          <w:sz w:val="18"/>
          <w:szCs w:val="18"/>
          <w:highlight w:val="none"/>
        </w:rPr>
        <w:t>，可能影响投资者的资金安排，带来流动性风险。</w:t>
      </w:r>
      <w:r>
        <w:rPr>
          <w:sz w:val="18"/>
          <w:szCs w:val="18"/>
          <w:highlight w:val="none"/>
        </w:rPr>
        <w:t>5</w:t>
      </w:r>
      <w:r>
        <w:rPr>
          <w:rFonts w:hint="eastAsia"/>
          <w:sz w:val="18"/>
          <w:szCs w:val="18"/>
          <w:highlight w:val="none"/>
        </w:rPr>
        <w:t>、市场风险：</w:t>
      </w:r>
      <w:r>
        <w:rPr>
          <w:rFonts w:ascii="宋体" w:hAnsi="宋体"/>
          <w:sz w:val="18"/>
          <w:szCs w:val="18"/>
          <w:highlight w:val="none"/>
        </w:rPr>
        <w:t>指由于债券市场</w:t>
      </w:r>
      <w:r>
        <w:rPr>
          <w:rFonts w:hint="eastAsia" w:ascii="宋体" w:hAnsi="宋体"/>
          <w:sz w:val="18"/>
          <w:szCs w:val="18"/>
          <w:highlight w:val="none"/>
        </w:rPr>
        <w:t>或资本市场</w:t>
      </w:r>
      <w:r>
        <w:rPr>
          <w:rFonts w:ascii="宋体" w:hAnsi="宋体"/>
          <w:sz w:val="18"/>
          <w:szCs w:val="18"/>
          <w:highlight w:val="none"/>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highlight w:val="none"/>
        </w:rPr>
        <w:t>或证券市场</w:t>
      </w:r>
      <w:r>
        <w:rPr>
          <w:rFonts w:ascii="宋体" w:hAnsi="宋体"/>
          <w:sz w:val="18"/>
          <w:szCs w:val="18"/>
          <w:highlight w:val="none"/>
        </w:rPr>
        <w:t>造成不同程度的影响，从而产生市场风险。</w:t>
      </w:r>
      <w:r>
        <w:rPr>
          <w:rFonts w:hint="eastAsia" w:ascii="宋体" w:hAnsi="宋体"/>
          <w:sz w:val="18"/>
          <w:szCs w:val="18"/>
          <w:highlight w:val="none"/>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highlight w:val="none"/>
        </w:rPr>
      </w:pPr>
      <w:r>
        <w:rPr>
          <w:rFonts w:hint="eastAsia"/>
          <w:sz w:val="18"/>
          <w:szCs w:val="18"/>
          <w:highlight w:val="none"/>
        </w:rPr>
        <w:t>6、延期风险</w:t>
      </w:r>
      <w:r>
        <w:rPr>
          <w:rFonts w:hint="eastAsia" w:ascii="宋体" w:hAnsi="宋体"/>
          <w:sz w:val="18"/>
          <w:szCs w:val="18"/>
          <w:highlight w:val="none"/>
        </w:rPr>
        <w:t>：如因理财计划所投资的标的资产因信用风险、市场风险等原因造成理财计划不能按时兑付，理财期限将相应延长。</w:t>
      </w:r>
    </w:p>
    <w:p>
      <w:pPr>
        <w:adjustRightInd w:val="0"/>
        <w:snapToGrid w:val="0"/>
        <w:spacing w:line="286" w:lineRule="auto"/>
        <w:rPr>
          <w:sz w:val="18"/>
          <w:szCs w:val="18"/>
          <w:highlight w:val="none"/>
        </w:rPr>
      </w:pPr>
      <w:r>
        <w:rPr>
          <w:rFonts w:hint="eastAsia"/>
          <w:sz w:val="18"/>
          <w:szCs w:val="18"/>
          <w:highlight w:val="none"/>
        </w:rPr>
        <w:t>7、早偿风险：如温州银行在特定情况下提前终止理财，则投资者可能将无法实现期初预期的全部收益。</w:t>
      </w:r>
    </w:p>
    <w:p>
      <w:pPr>
        <w:adjustRightInd w:val="0"/>
        <w:snapToGrid w:val="0"/>
        <w:spacing w:line="286" w:lineRule="auto"/>
        <w:rPr>
          <w:rFonts w:hint="eastAsia"/>
          <w:sz w:val="18"/>
          <w:szCs w:val="18"/>
          <w:highlight w:val="none"/>
        </w:rPr>
      </w:pPr>
      <w:r>
        <w:rPr>
          <w:rFonts w:hint="eastAsia" w:ascii="宋体" w:hAnsi="宋体"/>
          <w:sz w:val="18"/>
          <w:szCs w:val="18"/>
          <w:highlight w:val="none"/>
        </w:rPr>
        <w:t>8、</w:t>
      </w:r>
      <w:r>
        <w:rPr>
          <w:rFonts w:ascii="宋体" w:hAnsi="宋体"/>
          <w:sz w:val="18"/>
          <w:szCs w:val="18"/>
          <w:highlight w:val="none"/>
        </w:rPr>
        <w:t>信用风险</w:t>
      </w:r>
      <w:r>
        <w:rPr>
          <w:rFonts w:hint="eastAsia" w:ascii="宋体" w:hAnsi="宋体"/>
          <w:sz w:val="18"/>
          <w:szCs w:val="18"/>
          <w:highlight w:val="none"/>
        </w:rPr>
        <w:t>：</w:t>
      </w:r>
      <w:r>
        <w:rPr>
          <w:rFonts w:hint="eastAsia"/>
          <w:sz w:val="18"/>
          <w:szCs w:val="18"/>
          <w:highlight w:val="none"/>
        </w:rPr>
        <w:t>可能因交易对手违约或者其他原因导致到期投资品种不能得到及时足额清偿，进而造成理财财产损失。</w:t>
      </w:r>
    </w:p>
    <w:p>
      <w:pPr>
        <w:pStyle w:val="13"/>
        <w:adjustRightInd w:val="0"/>
        <w:snapToGrid w:val="0"/>
        <w:spacing w:line="286" w:lineRule="auto"/>
        <w:ind w:firstLine="0"/>
        <w:rPr>
          <w:sz w:val="18"/>
          <w:szCs w:val="18"/>
          <w:highlight w:val="none"/>
        </w:rPr>
      </w:pPr>
      <w:r>
        <w:rPr>
          <w:rFonts w:hint="eastAsia" w:ascii="宋体" w:hAnsi="宋体"/>
          <w:sz w:val="18"/>
          <w:szCs w:val="18"/>
          <w:highlight w:val="none"/>
        </w:rPr>
        <w:t>9、利率风险：本理财产品在实际投资运作过程中，由于利率市场出现巨大变化造成本理财产品所投资产价格发生波动，从而影响理财产品投资收益的，投资者的本金和收益可能遭受部分或全部损失。10、</w:t>
      </w:r>
      <w:r>
        <w:rPr>
          <w:rFonts w:hint="eastAsia"/>
          <w:sz w:val="18"/>
          <w:szCs w:val="18"/>
          <w:highlight w:val="none"/>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highlight w:val="none"/>
        </w:rPr>
      </w:pPr>
      <w:r>
        <w:rPr>
          <w:rFonts w:hint="eastAsia"/>
          <w:sz w:val="18"/>
          <w:szCs w:val="18"/>
          <w:highlight w:val="none"/>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highlight w:val="none"/>
        </w:rPr>
        <w:t xml:space="preserve"> </w:t>
      </w:r>
    </w:p>
    <w:p>
      <w:pPr>
        <w:adjustRightInd w:val="0"/>
        <w:snapToGrid w:val="0"/>
        <w:spacing w:line="286" w:lineRule="auto"/>
        <w:rPr>
          <w:sz w:val="18"/>
          <w:szCs w:val="18"/>
          <w:highlight w:val="none"/>
        </w:rPr>
      </w:pPr>
      <w:r>
        <w:rPr>
          <w:rFonts w:hint="eastAsia"/>
          <w:sz w:val="18"/>
          <w:szCs w:val="18"/>
          <w:highlight w:val="none"/>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highlight w:val="none"/>
        </w:rPr>
      </w:pPr>
      <w:r>
        <w:rPr>
          <w:rFonts w:hint="eastAsia" w:ascii="宋体" w:hAnsi="宋体"/>
          <w:b/>
          <w:sz w:val="18"/>
          <w:szCs w:val="18"/>
          <w:highlight w:val="none"/>
        </w:rPr>
        <w:t>风险监测和控制措施：</w:t>
      </w:r>
    </w:p>
    <w:p>
      <w:pPr>
        <w:adjustRightInd w:val="0"/>
        <w:snapToGrid w:val="0"/>
        <w:spacing w:line="286" w:lineRule="auto"/>
        <w:rPr>
          <w:rFonts w:ascii="宋体" w:hAnsi="宋体"/>
          <w:sz w:val="18"/>
          <w:szCs w:val="18"/>
          <w:highlight w:val="none"/>
        </w:rPr>
      </w:pPr>
      <w:r>
        <w:rPr>
          <w:rFonts w:ascii="宋体" w:hAnsi="宋体"/>
          <w:sz w:val="18"/>
          <w:szCs w:val="18"/>
          <w:highlight w:val="none"/>
        </w:rPr>
        <w:t>针对</w:t>
      </w:r>
      <w:r>
        <w:rPr>
          <w:rFonts w:hint="eastAsia" w:ascii="宋体" w:hAnsi="宋体"/>
          <w:sz w:val="18"/>
          <w:szCs w:val="18"/>
          <w:highlight w:val="none"/>
        </w:rPr>
        <w:t>上述</w:t>
      </w:r>
      <w:r>
        <w:rPr>
          <w:rFonts w:ascii="宋体" w:hAnsi="宋体"/>
          <w:sz w:val="18"/>
          <w:szCs w:val="18"/>
          <w:highlight w:val="none"/>
        </w:rPr>
        <w:t>提及的风险，</w:t>
      </w:r>
      <w:r>
        <w:rPr>
          <w:rFonts w:hint="eastAsia" w:ascii="宋体" w:hAnsi="宋体"/>
          <w:sz w:val="18"/>
          <w:szCs w:val="18"/>
          <w:highlight w:val="none"/>
        </w:rPr>
        <w:t>温州银行</w:t>
      </w:r>
      <w:r>
        <w:rPr>
          <w:rFonts w:ascii="宋体" w:hAnsi="宋体"/>
          <w:sz w:val="18"/>
          <w:szCs w:val="18"/>
          <w:highlight w:val="none"/>
        </w:rPr>
        <w:t>将采取以下措施防范和控制风险，但并不保证以下措施可以覆盖和排除在管理本</w:t>
      </w:r>
      <w:r>
        <w:rPr>
          <w:rFonts w:hint="eastAsia" w:ascii="宋体" w:hAnsi="宋体"/>
          <w:sz w:val="18"/>
          <w:szCs w:val="18"/>
          <w:highlight w:val="none"/>
        </w:rPr>
        <w:t>产品</w:t>
      </w:r>
      <w:r>
        <w:rPr>
          <w:rFonts w:ascii="宋体" w:hAnsi="宋体"/>
          <w:sz w:val="18"/>
          <w:szCs w:val="18"/>
          <w:highlight w:val="none"/>
        </w:rPr>
        <w:t>过程中所可能涉及的全部风险</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2、管理风险的管控措施：温州银行</w:t>
      </w:r>
      <w:r>
        <w:rPr>
          <w:rFonts w:ascii="宋体" w:hAnsi="宋体"/>
          <w:sz w:val="18"/>
          <w:szCs w:val="18"/>
          <w:highlight w:val="none"/>
        </w:rPr>
        <w:t>将加强内部管理，恪尽职守，</w:t>
      </w:r>
      <w:r>
        <w:rPr>
          <w:rFonts w:hint="eastAsia" w:ascii="宋体" w:hAnsi="宋体"/>
          <w:sz w:val="18"/>
          <w:szCs w:val="18"/>
          <w:highlight w:val="none"/>
        </w:rPr>
        <w:t>督促合作机构</w:t>
      </w:r>
      <w:r>
        <w:rPr>
          <w:rFonts w:ascii="宋体" w:hAnsi="宋体"/>
          <w:sz w:val="18"/>
          <w:szCs w:val="18"/>
          <w:highlight w:val="none"/>
        </w:rPr>
        <w:t>加强对信息的采集和科学的分析，力争降低因</w:t>
      </w:r>
      <w:r>
        <w:rPr>
          <w:rFonts w:hint="eastAsia" w:ascii="宋体" w:hAnsi="宋体"/>
          <w:sz w:val="18"/>
          <w:szCs w:val="18"/>
          <w:highlight w:val="none"/>
        </w:rPr>
        <w:t>其</w:t>
      </w:r>
      <w:r>
        <w:rPr>
          <w:rFonts w:ascii="宋体" w:hAnsi="宋体"/>
          <w:sz w:val="18"/>
          <w:szCs w:val="18"/>
          <w:highlight w:val="none"/>
        </w:rPr>
        <w:t>管理不当而对</w:t>
      </w:r>
      <w:r>
        <w:rPr>
          <w:rFonts w:hint="eastAsia" w:ascii="宋体" w:hAnsi="宋体"/>
          <w:sz w:val="18"/>
          <w:szCs w:val="18"/>
          <w:highlight w:val="none"/>
        </w:rPr>
        <w:t>理财</w:t>
      </w:r>
      <w:r>
        <w:rPr>
          <w:rFonts w:ascii="宋体" w:hAnsi="宋体"/>
          <w:sz w:val="18"/>
          <w:szCs w:val="18"/>
          <w:highlight w:val="none"/>
        </w:rPr>
        <w:t>财产</w:t>
      </w:r>
      <w:r>
        <w:rPr>
          <w:rFonts w:hint="eastAsia" w:ascii="宋体" w:hAnsi="宋体"/>
          <w:sz w:val="18"/>
          <w:szCs w:val="18"/>
          <w:highlight w:val="none"/>
        </w:rPr>
        <w:t>造成的</w:t>
      </w:r>
      <w:r>
        <w:rPr>
          <w:rFonts w:ascii="宋体" w:hAnsi="宋体"/>
          <w:sz w:val="18"/>
          <w:szCs w:val="18"/>
          <w:highlight w:val="none"/>
        </w:rPr>
        <w:t>损失</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3、法律风险的管控措施：温州银行将严格按照法律法规的要求履行自己的责任和义务。</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4、政策风险、</w:t>
      </w:r>
      <w:r>
        <w:rPr>
          <w:rFonts w:hint="eastAsia"/>
          <w:sz w:val="18"/>
          <w:szCs w:val="18"/>
          <w:highlight w:val="none"/>
        </w:rPr>
        <w:t>早偿风险、理财产品不成立风险和</w:t>
      </w:r>
      <w:r>
        <w:rPr>
          <w:rFonts w:ascii="宋体" w:hAnsi="宋体"/>
          <w:sz w:val="18"/>
          <w:szCs w:val="18"/>
          <w:highlight w:val="none"/>
        </w:rPr>
        <w:t>其他风险</w:t>
      </w:r>
      <w:r>
        <w:rPr>
          <w:rFonts w:hint="eastAsia" w:ascii="宋体" w:hAnsi="宋体"/>
          <w:sz w:val="18"/>
          <w:szCs w:val="18"/>
          <w:highlight w:val="none"/>
        </w:rPr>
        <w:t>的管控措施：温州银行</w:t>
      </w:r>
      <w:r>
        <w:rPr>
          <w:rFonts w:ascii="宋体" w:hAnsi="宋体"/>
          <w:sz w:val="18"/>
          <w:szCs w:val="18"/>
          <w:highlight w:val="none"/>
        </w:rPr>
        <w:t>将坚持</w:t>
      </w:r>
      <w:r>
        <w:rPr>
          <w:rFonts w:hint="eastAsia" w:ascii="宋体" w:hAnsi="宋体"/>
          <w:sz w:val="18"/>
          <w:szCs w:val="18"/>
          <w:highlight w:val="none"/>
        </w:rPr>
        <w:t>理财财产利益</w:t>
      </w:r>
      <w:r>
        <w:rPr>
          <w:rFonts w:ascii="宋体" w:hAnsi="宋体"/>
          <w:sz w:val="18"/>
          <w:szCs w:val="18"/>
          <w:highlight w:val="none"/>
        </w:rPr>
        <w:t>最大化的原则，严格履行自己应尽的义务，不断分析潜在的风险，努力防范和化解可能出现的风险，维护</w:t>
      </w:r>
      <w:r>
        <w:rPr>
          <w:rFonts w:hint="eastAsia" w:ascii="宋体" w:hAnsi="宋体"/>
          <w:sz w:val="18"/>
          <w:szCs w:val="18"/>
          <w:highlight w:val="none"/>
        </w:rPr>
        <w:t>理财财产的</w:t>
      </w:r>
      <w:r>
        <w:rPr>
          <w:rFonts w:ascii="宋体" w:hAnsi="宋体"/>
          <w:sz w:val="18"/>
          <w:szCs w:val="18"/>
          <w:highlight w:val="none"/>
        </w:rPr>
        <w:t>利益。</w:t>
      </w:r>
    </w:p>
    <w:p>
      <w:pPr>
        <w:adjustRightInd w:val="0"/>
        <w:snapToGrid w:val="0"/>
        <w:spacing w:line="286" w:lineRule="auto"/>
        <w:rPr>
          <w:b/>
          <w:sz w:val="18"/>
          <w:szCs w:val="18"/>
          <w:highlight w:val="none"/>
        </w:rPr>
      </w:pPr>
      <w:r>
        <w:rPr>
          <w:rFonts w:hint="eastAsia"/>
          <w:b/>
          <w:sz w:val="18"/>
          <w:szCs w:val="18"/>
          <w:highlight w:val="none"/>
        </w:rPr>
        <w:t>信息公告</w:t>
      </w:r>
    </w:p>
    <w:p>
      <w:pPr>
        <w:adjustRightInd w:val="0"/>
        <w:snapToGrid w:val="0"/>
        <w:spacing w:line="286" w:lineRule="auto"/>
        <w:rPr>
          <w:sz w:val="18"/>
          <w:szCs w:val="18"/>
          <w:highlight w:val="none"/>
        </w:rPr>
      </w:pPr>
      <w:r>
        <w:rPr>
          <w:rFonts w:hint="eastAsia"/>
          <w:sz w:val="18"/>
          <w:szCs w:val="18"/>
          <w:highlight w:val="none"/>
        </w:rPr>
        <w:t>1、发行公告：温州银行将在本产品成立之日后5个工作日内披露发行公告，包括理财产品成立日期和募集规模等信息。</w:t>
      </w:r>
    </w:p>
    <w:p>
      <w:pPr>
        <w:adjustRightInd w:val="0"/>
        <w:snapToGrid w:val="0"/>
        <w:spacing w:line="286" w:lineRule="auto"/>
        <w:rPr>
          <w:sz w:val="18"/>
          <w:szCs w:val="18"/>
          <w:highlight w:val="none"/>
        </w:rPr>
      </w:pPr>
      <w:r>
        <w:rPr>
          <w:rFonts w:hint="eastAsia"/>
          <w:sz w:val="18"/>
          <w:szCs w:val="18"/>
          <w:highlight w:val="none"/>
        </w:rPr>
        <w:t>2、定期公告：</w:t>
      </w:r>
    </w:p>
    <w:p>
      <w:pPr>
        <w:adjustRightInd w:val="0"/>
        <w:snapToGrid w:val="0"/>
        <w:spacing w:line="286" w:lineRule="auto"/>
        <w:rPr>
          <w:sz w:val="18"/>
          <w:szCs w:val="18"/>
          <w:highlight w:val="none"/>
        </w:rPr>
      </w:pPr>
      <w:r>
        <w:rPr>
          <w:rFonts w:hint="eastAsia"/>
          <w:sz w:val="18"/>
          <w:szCs w:val="18"/>
          <w:highlight w:val="none"/>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至少每季度向合格投资者披露理财产品的资产净值、份额净值和其他重要信息。</w:t>
      </w:r>
    </w:p>
    <w:p>
      <w:pPr>
        <w:adjustRightInd w:val="0"/>
        <w:snapToGrid w:val="0"/>
        <w:spacing w:line="286" w:lineRule="auto"/>
        <w:rPr>
          <w:sz w:val="18"/>
          <w:szCs w:val="18"/>
          <w:highlight w:val="none"/>
        </w:rPr>
      </w:pPr>
      <w:r>
        <w:rPr>
          <w:rFonts w:hint="eastAsia"/>
          <w:sz w:val="18"/>
          <w:szCs w:val="18"/>
          <w:highlight w:val="none"/>
        </w:rPr>
        <w:t>3、临时性公告</w:t>
      </w:r>
    </w:p>
    <w:p>
      <w:pPr>
        <w:adjustRightInd w:val="0"/>
        <w:snapToGrid w:val="0"/>
        <w:spacing w:line="286" w:lineRule="auto"/>
        <w:rPr>
          <w:b/>
          <w:sz w:val="18"/>
          <w:szCs w:val="18"/>
          <w:highlight w:val="none"/>
        </w:rPr>
      </w:pPr>
      <w:r>
        <w:rPr>
          <w:rFonts w:hint="eastAsia"/>
          <w:b/>
          <w:sz w:val="18"/>
          <w:szCs w:val="18"/>
          <w:highlight w:val="none"/>
        </w:rPr>
        <w:t>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highlight w:val="none"/>
        </w:rPr>
      </w:pPr>
      <w:r>
        <w:rPr>
          <w:rFonts w:hint="eastAsia"/>
          <w:b/>
          <w:sz w:val="18"/>
          <w:szCs w:val="18"/>
          <w:highlight w:val="none"/>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highlight w:val="none"/>
        </w:rPr>
      </w:pPr>
      <w:r>
        <w:rPr>
          <w:rFonts w:hint="eastAsia"/>
          <w:sz w:val="18"/>
          <w:szCs w:val="18"/>
          <w:highlight w:val="none"/>
        </w:rPr>
        <w:t>5、到期公告：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）温州银行将在本产品到期日后5个工作日内，在温州银行网站发布到期公告。</w:t>
      </w:r>
    </w:p>
    <w:p>
      <w:pPr>
        <w:adjustRightInd w:val="0"/>
        <w:snapToGrid w:val="0"/>
        <w:spacing w:line="286" w:lineRule="auto"/>
        <w:rPr>
          <w:b/>
          <w:sz w:val="18"/>
          <w:szCs w:val="18"/>
          <w:highlight w:val="none"/>
        </w:rPr>
      </w:pPr>
      <w:r>
        <w:rPr>
          <w:rFonts w:hint="eastAsia"/>
          <w:b/>
          <w:sz w:val="18"/>
          <w:szCs w:val="18"/>
          <w:highlight w:val="none"/>
        </w:rPr>
        <w:t>（</w:t>
      </w:r>
      <w:r>
        <w:rPr>
          <w:b/>
          <w:sz w:val="18"/>
          <w:szCs w:val="18"/>
          <w:highlight w:val="none"/>
        </w:rPr>
        <w:t>2</w:t>
      </w:r>
      <w:r>
        <w:rPr>
          <w:rFonts w:hint="eastAsia"/>
          <w:b/>
          <w:sz w:val="18"/>
          <w:szCs w:val="18"/>
          <w:highlight w:val="none"/>
        </w:rPr>
        <w:t>）温州银行如在特定情况下提前终止本产品，将于实际终止日提前至少</w:t>
      </w:r>
      <w:r>
        <w:rPr>
          <w:b/>
          <w:sz w:val="18"/>
          <w:szCs w:val="18"/>
          <w:highlight w:val="none"/>
        </w:rPr>
        <w:t>1</w:t>
      </w:r>
      <w:r>
        <w:rPr>
          <w:rFonts w:hint="eastAsia"/>
          <w:b/>
          <w:sz w:val="18"/>
          <w:szCs w:val="18"/>
          <w:highlight w:val="none"/>
        </w:rPr>
        <w:t>个工作日，在温州银行网站和相关网点发布相关信息公告。</w:t>
      </w:r>
    </w:p>
    <w:p>
      <w:pPr>
        <w:adjustRightInd w:val="0"/>
        <w:snapToGrid w:val="0"/>
        <w:spacing w:line="286" w:lineRule="auto"/>
        <w:rPr>
          <w:rFonts w:hint="eastAsia"/>
          <w:b/>
          <w:bCs/>
          <w:sz w:val="18"/>
          <w:szCs w:val="18"/>
          <w:highlight w:val="none"/>
        </w:rPr>
      </w:pPr>
      <w:r>
        <w:rPr>
          <w:rFonts w:hint="eastAsia"/>
          <w:sz w:val="18"/>
          <w:szCs w:val="18"/>
          <w:highlight w:val="none"/>
        </w:rPr>
        <w:t>6、温州银行将在理财期内在温州银行网站（www.wzbank.cn）或电子银行等信息平台对本产品说明书予以公示。产品存续期间，投资者应当登录温州银行网站（www.wzbank.cn）或电子银行等信息平台获取与本理财产品相关的信息。</w:t>
      </w:r>
      <w:r>
        <w:rPr>
          <w:rFonts w:hint="eastAsia"/>
          <w:b/>
          <w:bCs/>
          <w:sz w:val="18"/>
          <w:szCs w:val="18"/>
          <w:highlight w:val="none"/>
        </w:rPr>
        <w:t>投资者信息管理</w:t>
      </w:r>
    </w:p>
    <w:p>
      <w:pPr>
        <w:adjustRightInd w:val="0"/>
        <w:snapToGrid w:val="0"/>
        <w:spacing w:line="286" w:lineRule="auto"/>
        <w:rPr>
          <w:sz w:val="18"/>
          <w:szCs w:val="18"/>
          <w:highlight w:val="none"/>
        </w:rPr>
      </w:pPr>
      <w:r>
        <w:rPr>
          <w:rFonts w:hint="eastAsia"/>
          <w:sz w:val="18"/>
          <w:szCs w:val="18"/>
          <w:highlight w:val="none"/>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highlight w:val="none"/>
        </w:rPr>
      </w:pPr>
      <w:r>
        <w:rPr>
          <w:rFonts w:hint="eastAsia"/>
          <w:b/>
          <w:sz w:val="18"/>
          <w:szCs w:val="18"/>
          <w:highlight w:val="none"/>
        </w:rPr>
        <w:t>产品认购</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、认购手续：在产品认购期内，个人投资者请带本人身份证原件及复印件、温州银行借记卡等到银行营业网点或登录温州银行电子渠道办理。</w:t>
      </w:r>
      <w:r>
        <w:rPr>
          <w:rFonts w:hint="eastAsia" w:ascii="宋体" w:cs="宋体"/>
          <w:kern w:val="0"/>
          <w:sz w:val="18"/>
          <w:szCs w:val="18"/>
          <w:highlight w:val="none"/>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、产品发行规模有限，售完即止。</w:t>
      </w:r>
    </w:p>
    <w:p>
      <w:pPr>
        <w:adjustRightInd w:val="0"/>
        <w:snapToGrid w:val="0"/>
        <w:spacing w:line="286" w:lineRule="auto"/>
        <w:rPr>
          <w:sz w:val="18"/>
          <w:szCs w:val="18"/>
          <w:highlight w:val="none"/>
        </w:rPr>
      </w:pPr>
      <w:r>
        <w:rPr>
          <w:rFonts w:hint="eastAsia"/>
          <w:b/>
          <w:sz w:val="18"/>
          <w:szCs w:val="18"/>
          <w:highlight w:val="none"/>
        </w:rPr>
        <w:t>法律适用与争议解决</w:t>
      </w:r>
    </w:p>
    <w:p>
      <w:pPr>
        <w:adjustRightInd w:val="0"/>
        <w:snapToGrid w:val="0"/>
        <w:spacing w:line="286" w:lineRule="auto"/>
        <w:rPr>
          <w:sz w:val="18"/>
          <w:szCs w:val="18"/>
          <w:highlight w:val="none"/>
        </w:rPr>
      </w:pPr>
      <w:r>
        <w:rPr>
          <w:rFonts w:hint="eastAsia"/>
          <w:sz w:val="18"/>
          <w:szCs w:val="18"/>
          <w:highlight w:val="none"/>
        </w:rPr>
        <w:t>1、法律适用：理财计划合同的订立、生效、履行、修改和终止等事项适用中国内地法律。</w:t>
      </w:r>
    </w:p>
    <w:p>
      <w:pPr>
        <w:adjustRightInd w:val="0"/>
        <w:snapToGrid w:val="0"/>
        <w:spacing w:line="286" w:lineRule="auto"/>
        <w:rPr>
          <w:sz w:val="18"/>
          <w:szCs w:val="18"/>
          <w:highlight w:val="none"/>
        </w:rPr>
      </w:pPr>
      <w:r>
        <w:rPr>
          <w:rFonts w:hint="eastAsia"/>
          <w:sz w:val="18"/>
          <w:szCs w:val="18"/>
          <w:highlight w:val="none"/>
        </w:rPr>
        <w:t>2、争议解决</w:t>
      </w:r>
    </w:p>
    <w:p>
      <w:pPr>
        <w:adjustRightInd w:val="0"/>
        <w:snapToGrid w:val="0"/>
        <w:spacing w:line="286" w:lineRule="auto"/>
        <w:rPr>
          <w:sz w:val="18"/>
          <w:szCs w:val="18"/>
          <w:highlight w:val="none"/>
        </w:rPr>
      </w:pPr>
      <w:r>
        <w:rPr>
          <w:rFonts w:hint="eastAsia"/>
          <w:sz w:val="18"/>
          <w:szCs w:val="18"/>
          <w:highlight w:val="none"/>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highlight w:val="none"/>
        </w:rPr>
      </w:pPr>
      <w:r>
        <w:rPr>
          <w:rFonts w:hint="eastAsia"/>
          <w:sz w:val="18"/>
          <w:szCs w:val="18"/>
          <w:highlight w:val="none"/>
        </w:rPr>
        <w:t>（2）除各方发生争议的事项外，各方仍应当本着善意的原则按照理财计划文件的规定继续履行各自义务。</w:t>
      </w:r>
    </w:p>
    <w:p>
      <w:pPr>
        <w:adjustRightInd w:val="0"/>
        <w:snapToGrid w:val="0"/>
        <w:spacing w:line="286" w:lineRule="auto"/>
        <w:rPr>
          <w:sz w:val="18"/>
          <w:szCs w:val="18"/>
          <w:highlight w:val="none"/>
        </w:rPr>
      </w:pPr>
      <w:r>
        <w:rPr>
          <w:rFonts w:hint="eastAsia"/>
          <w:sz w:val="18"/>
          <w:szCs w:val="18"/>
          <w:highlight w:val="none"/>
        </w:rPr>
        <w:t>（3）《温州银行“金鹿理财-臻享”</w:t>
      </w:r>
      <w:r>
        <w:rPr>
          <w:rFonts w:hint="eastAsia"/>
          <w:color w:val="000000"/>
          <w:sz w:val="18"/>
          <w:szCs w:val="18"/>
          <w:highlight w:val="none"/>
          <w:lang w:eastAsia="zh-CN"/>
        </w:rPr>
        <w:t>23026号</w:t>
      </w:r>
      <w:r>
        <w:rPr>
          <w:rFonts w:hint="eastAsia"/>
          <w:sz w:val="18"/>
          <w:szCs w:val="18"/>
          <w:highlight w:val="none"/>
        </w:rPr>
        <w:t>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highlight w:val="none"/>
        </w:rPr>
      </w:pPr>
      <w:r>
        <w:rPr>
          <w:rFonts w:hint="eastAsia" w:ascii="宋体" w:hAnsi="宋体"/>
          <w:szCs w:val="21"/>
          <w:highlight w:val="none"/>
        </w:rPr>
        <w:t xml:space="preserve">         投资者签章：                                 日期：</w:t>
      </w:r>
    </w:p>
    <w:p>
      <w:pPr>
        <w:pStyle w:val="3"/>
        <w:rPr>
          <w:rFonts w:hint="eastAsia" w:hAnsi="宋体" w:cs="宋体"/>
          <w:highlight w:val="none"/>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7563E0A"/>
    <w:multiLevelType w:val="singleLevel"/>
    <w:tmpl w:val="C7563E0A"/>
    <w:lvl w:ilvl="0" w:tentative="0">
      <w:start w:val="1"/>
      <w:numFmt w:val="decimal"/>
      <w:suff w:val="nothing"/>
      <w:lvlText w:val="（%1）"/>
      <w:lvlJc w:val="left"/>
    </w:lvl>
  </w:abstractNum>
  <w:abstractNum w:abstractNumId="1">
    <w:nsid w:val="10D8C1A8"/>
    <w:multiLevelType w:val="singleLevel"/>
    <w:tmpl w:val="10D8C1A8"/>
    <w:lvl w:ilvl="0" w:tentative="0">
      <w:start w:val="1"/>
      <w:numFmt w:val="decimal"/>
      <w:lvlText w:val="%1."/>
      <w:lvlJc w:val="left"/>
      <w:pPr>
        <w:tabs>
          <w:tab w:val="left" w:pos="312"/>
        </w:tabs>
      </w:pPr>
    </w:lvl>
  </w:abstractNum>
  <w:abstractNum w:abstractNumId="2">
    <w:nsid w:val="5803C2AC"/>
    <w:multiLevelType w:val="singleLevel"/>
    <w:tmpl w:val="5803C2AC"/>
    <w:lvl w:ilvl="0" w:tentative="0">
      <w:start w:val="2"/>
      <w:numFmt w:val="decimal"/>
      <w:suff w:val="nothing"/>
      <w:lvlText w:val="%1、"/>
      <w:lvlJc w:val="left"/>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0"/>
  <w:bordersDoNotSurroundFooter w:val="0"/>
  <w:documentProtection w:edit="readOnly" w:enforcement="1" w:cryptProviderType="rsaFull" w:cryptAlgorithmClass="hash" w:cryptAlgorithmType="typeAny" w:cryptAlgorithmSid="4" w:cryptSpinCount="0" w:hash="if+RVyF500M1ngaZXDVpCci4lbo=" w:salt="XFf2SCK4oQvX7vqlZrnDpQ=="/>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13AD7"/>
    <w:rsid w:val="00063DCD"/>
    <w:rsid w:val="000B5991"/>
    <w:rsid w:val="000D5A76"/>
    <w:rsid w:val="00331EA4"/>
    <w:rsid w:val="0058461F"/>
    <w:rsid w:val="00631B29"/>
    <w:rsid w:val="006A096F"/>
    <w:rsid w:val="0078088F"/>
    <w:rsid w:val="007A7805"/>
    <w:rsid w:val="008441F8"/>
    <w:rsid w:val="009115E2"/>
    <w:rsid w:val="00923B87"/>
    <w:rsid w:val="009D7D58"/>
    <w:rsid w:val="00A05C84"/>
    <w:rsid w:val="00B61087"/>
    <w:rsid w:val="00D71534"/>
    <w:rsid w:val="00E2610C"/>
    <w:rsid w:val="00F548A2"/>
    <w:rsid w:val="00F81FE4"/>
    <w:rsid w:val="00FE1D1B"/>
    <w:rsid w:val="00FF5DD6"/>
    <w:rsid w:val="020D5912"/>
    <w:rsid w:val="060F0B1F"/>
    <w:rsid w:val="06794E05"/>
    <w:rsid w:val="08EF38EC"/>
    <w:rsid w:val="09B16F1F"/>
    <w:rsid w:val="0AC90772"/>
    <w:rsid w:val="0DA90DFA"/>
    <w:rsid w:val="0E1D1495"/>
    <w:rsid w:val="0ED95908"/>
    <w:rsid w:val="124F6FCD"/>
    <w:rsid w:val="14DB549B"/>
    <w:rsid w:val="190C6A15"/>
    <w:rsid w:val="1BB60D30"/>
    <w:rsid w:val="1DD91150"/>
    <w:rsid w:val="1E6E3DB8"/>
    <w:rsid w:val="1FDF3647"/>
    <w:rsid w:val="1FEFB915"/>
    <w:rsid w:val="20DB6550"/>
    <w:rsid w:val="22A04815"/>
    <w:rsid w:val="23535C37"/>
    <w:rsid w:val="26531D8B"/>
    <w:rsid w:val="26A745EE"/>
    <w:rsid w:val="275A751E"/>
    <w:rsid w:val="27697D3C"/>
    <w:rsid w:val="27EE5BCD"/>
    <w:rsid w:val="2AFF68BE"/>
    <w:rsid w:val="2D1D2B95"/>
    <w:rsid w:val="2D6F4CA6"/>
    <w:rsid w:val="2EB7637B"/>
    <w:rsid w:val="2F7E1AF7"/>
    <w:rsid w:val="2FE766C5"/>
    <w:rsid w:val="31025CB3"/>
    <w:rsid w:val="313A7139"/>
    <w:rsid w:val="31AC46DA"/>
    <w:rsid w:val="320C3990"/>
    <w:rsid w:val="34B74934"/>
    <w:rsid w:val="37B32A93"/>
    <w:rsid w:val="39766FF2"/>
    <w:rsid w:val="3B46D2A4"/>
    <w:rsid w:val="3C5374EE"/>
    <w:rsid w:val="3D1B017D"/>
    <w:rsid w:val="3F044FE7"/>
    <w:rsid w:val="3FFF1548"/>
    <w:rsid w:val="4146226E"/>
    <w:rsid w:val="43712A5A"/>
    <w:rsid w:val="43B64733"/>
    <w:rsid w:val="4409550D"/>
    <w:rsid w:val="44456C0A"/>
    <w:rsid w:val="4B794A3C"/>
    <w:rsid w:val="4BC63B4A"/>
    <w:rsid w:val="4EFE40C2"/>
    <w:rsid w:val="50BC0EEB"/>
    <w:rsid w:val="51123BFB"/>
    <w:rsid w:val="546F0E0A"/>
    <w:rsid w:val="56AB5155"/>
    <w:rsid w:val="56AE78BD"/>
    <w:rsid w:val="58356C69"/>
    <w:rsid w:val="5D0B2C53"/>
    <w:rsid w:val="5DD76B10"/>
    <w:rsid w:val="5E53116C"/>
    <w:rsid w:val="5F4A6202"/>
    <w:rsid w:val="5FAF8ADF"/>
    <w:rsid w:val="608470BC"/>
    <w:rsid w:val="611808E0"/>
    <w:rsid w:val="61E21802"/>
    <w:rsid w:val="621362E3"/>
    <w:rsid w:val="621F1292"/>
    <w:rsid w:val="627B657A"/>
    <w:rsid w:val="636035E2"/>
    <w:rsid w:val="63DF9DEC"/>
    <w:rsid w:val="6A140818"/>
    <w:rsid w:val="6D15771F"/>
    <w:rsid w:val="6EFF375B"/>
    <w:rsid w:val="6F0FDD9B"/>
    <w:rsid w:val="77A96882"/>
    <w:rsid w:val="793D346A"/>
    <w:rsid w:val="7C7A643B"/>
    <w:rsid w:val="7DAEFF8C"/>
    <w:rsid w:val="7DCD8CE5"/>
    <w:rsid w:val="7EF0A27F"/>
    <w:rsid w:val="7FFFB1D6"/>
    <w:rsid w:val="B93A49A3"/>
    <w:rsid w:val="BB2A8372"/>
    <w:rsid w:val="BEB19B29"/>
    <w:rsid w:val="DFE4B709"/>
    <w:rsid w:val="EF5F2DDB"/>
    <w:rsid w:val="F1EBD4A1"/>
    <w:rsid w:val="F5BBA72D"/>
    <w:rsid w:val="F5FFA0BF"/>
    <w:rsid w:val="F6EF9E8F"/>
    <w:rsid w:val="F7FB3357"/>
    <w:rsid w:val="FCFB4D9A"/>
    <w:rsid w:val="FF9F9463"/>
    <w:rsid w:val="FFB5E4B3"/>
    <w:rsid w:val="FFFBCA9F"/>
    <w:rsid w:val="FFFF155A"/>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8">
    <w:name w:val="Default Paragraph Font"/>
    <w:unhideWhenUsed/>
    <w:uiPriority w:val="1"/>
  </w:style>
  <w:style w:type="table" w:default="1" w:styleId="7">
    <w:name w:val="Normal Table"/>
    <w:unhideWhenUsed/>
    <w:qFormat/>
    <w:uiPriority w:val="99"/>
    <w:tblPr>
      <w:tblCellMar>
        <w:top w:w="0" w:type="dxa"/>
        <w:left w:w="108" w:type="dxa"/>
        <w:bottom w:w="0" w:type="dxa"/>
        <w:right w:w="108" w:type="dxa"/>
      </w:tblCellMar>
    </w:tblPr>
  </w:style>
  <w:style w:type="paragraph" w:styleId="2">
    <w:name w:val="annotation text"/>
    <w:basedOn w:val="1"/>
    <w:unhideWhenUsed/>
    <w:uiPriority w:val="99"/>
    <w:pPr>
      <w:jc w:val="left"/>
    </w:pPr>
    <w:rPr>
      <w:rFonts w:ascii="Times New Roman" w:hAnsi="Times New Roman"/>
    </w:rPr>
  </w:style>
  <w:style w:type="paragraph" w:styleId="3">
    <w:name w:val="Plain Text"/>
    <w:basedOn w:val="1"/>
    <w:link w:val="9"/>
    <w:unhideWhenUsed/>
    <w:uiPriority w:val="99"/>
    <w:rPr>
      <w:rFonts w:ascii="宋体" w:hAnsi="Courier New" w:eastAsia="宋体" w:cs="Courier New"/>
      <w:szCs w:val="21"/>
    </w:rPr>
  </w:style>
  <w:style w:type="paragraph" w:styleId="4">
    <w:name w:val="footer"/>
    <w:basedOn w:val="1"/>
    <w:link w:val="10"/>
    <w:unhideWhenUsed/>
    <w:qFormat/>
    <w:uiPriority w:val="99"/>
    <w:pPr>
      <w:tabs>
        <w:tab w:val="center" w:pos="4153"/>
        <w:tab w:val="right" w:pos="8306"/>
      </w:tabs>
      <w:snapToGrid w:val="0"/>
      <w:jc w:val="left"/>
    </w:pPr>
    <w:rPr>
      <w:kern w:val="0"/>
      <w:sz w:val="18"/>
      <w:szCs w:val="18"/>
    </w:rPr>
  </w:style>
  <w:style w:type="paragraph" w:styleId="5">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character" w:customStyle="1" w:styleId="9">
    <w:name w:val="纯文本 字符"/>
    <w:link w:val="3"/>
    <w:qFormat/>
    <w:uiPriority w:val="99"/>
    <w:rPr>
      <w:rFonts w:ascii="宋体" w:hAnsi="Courier New" w:eastAsia="宋体" w:cs="Courier New"/>
      <w:szCs w:val="21"/>
    </w:rPr>
  </w:style>
  <w:style w:type="character" w:customStyle="1" w:styleId="10">
    <w:name w:val="页脚 字符"/>
    <w:link w:val="4"/>
    <w:qFormat/>
    <w:uiPriority w:val="99"/>
    <w:rPr>
      <w:rFonts w:ascii="Calibri" w:hAnsi="Calibri" w:eastAsia="宋体" w:cs="Times New Roman"/>
      <w:kern w:val="0"/>
      <w:sz w:val="18"/>
      <w:szCs w:val="18"/>
    </w:rPr>
  </w:style>
  <w:style w:type="character" w:customStyle="1" w:styleId="11">
    <w:name w:val="页眉 字符"/>
    <w:link w:val="5"/>
    <w:qFormat/>
    <w:uiPriority w:val="99"/>
    <w:rPr>
      <w:kern w:val="2"/>
      <w:sz w:val="18"/>
      <w:szCs w:val="18"/>
    </w:rPr>
  </w:style>
  <w:style w:type="paragraph" w:customStyle="1" w:styleId="12">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styleId="13">
    <w:name w:val="List Paragraph"/>
    <w:basedOn w:val="1"/>
    <w:qFormat/>
    <w:uiPriority w:val="34"/>
    <w:pPr>
      <w:widowControl/>
      <w:ind w:firstLine="420"/>
    </w:pPr>
    <w:rPr>
      <w:rFonts w:cs="宋体"/>
      <w:kern w:val="0"/>
      <w:szCs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9</Pages>
  <Words>1991</Words>
  <Characters>11350</Characters>
  <Lines>94</Lines>
  <Paragraphs>26</Paragraphs>
  <TotalTime>38</TotalTime>
  <ScaleCrop>false</ScaleCrop>
  <LinksUpToDate>false</LinksUpToDate>
  <CharactersWithSpaces>13315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2022-03-12T07:10:00Z</dcterms:created>
  <dc:creator>陈浩</dc:creator>
  <cp:lastModifiedBy>应心茹</cp:lastModifiedBy>
  <dcterms:modified xsi:type="dcterms:W3CDTF">2023-12-28T08:16:19Z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53D395A62D6B99D3B434F8645F83C450_43</vt:lpwstr>
  </property>
</Properties>
</file>