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22002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22002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22002</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22002</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22002</w:t>
      </w:r>
      <w:r>
        <w:rPr>
          <w:rFonts w:hint="eastAsia" w:ascii="宋体" w:hAnsi="宋体"/>
          <w:szCs w:val="21"/>
        </w:rPr>
        <w:t>号开放式净值型银行理财计划产品说明书》、《温州银行“金鹿理财-普惠颐养”</w:t>
      </w:r>
      <w:r>
        <w:rPr>
          <w:color w:val="000000"/>
          <w:szCs w:val="21"/>
        </w:rPr>
        <w:t>22002</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22002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22002</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59264"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59264;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22002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PY2202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C1092222000001</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2022年1月12日至2022年1月18日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本理财计划成立日为2022年1月19日。温州银行有权根据实际募集情况选择产品提前成立，若温州银行采取以上措施，温州银行将就产品相应要素的调整事宜于提前成立日前的一个工作日在温州银行</w:t>
            </w:r>
            <w:r>
              <w:rPr>
                <w:rFonts w:hint="eastAsia"/>
                <w:sz w:val="18"/>
                <w:szCs w:val="18"/>
              </w:rPr>
              <w:t>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22002</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22002</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22002</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：本理财计划成立日为2022年1月19日，从成立日起，每</w:t>
      </w:r>
      <w:r>
        <w:rPr>
          <w:rFonts w:ascii="宋体" w:hAnsi="宋体"/>
          <w:sz w:val="18"/>
        </w:rPr>
        <w:t>【</w:t>
      </w:r>
      <w:r>
        <w:rPr>
          <w:rFonts w:hint="eastAsia" w:ascii="宋体" w:hAnsi="宋体"/>
          <w:color w:val="000000"/>
          <w:sz w:val="18"/>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本产品预计到期终止日为2034年1月19日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22002</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4.5% ，该投资运作周期单位累计分红净额0.045。投资运作周期到期清算时，扣除托管费、固定管理费后及其他费用（不含浮动管理费），如产品累计净值为1.0908，此时， (1.0908/1.00-1)×365/730= 4.54%&gt; 4.5%，即投资收益率超越业绩比较基准，则投资管理人对超过业绩比较基准部分收益收取浮动管理费，浮动管理费为： 100,000.00×[1.0908-1.00×(1+ 4.5%×730/365)]×50%=40（元）。扣除浮动管理费后，客户剩余理财收益为：100,000.00×（1.0908-1.00-0.045）-40=4540（元），产品投资运作周期到期时，客户本周期获得的实际收益相当于达到年化收益率水平为：（4540+100,000.00×0.045）/100,000.00×365/730=4.52%。</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4.5% ，该投资运作周期单位累计分红净额0.043。投资运作周期到期清算时，扣除托管费、固定管理费及其他费用（不含浮动管理费）后，如产品累计净值为1.0856，此时，(1.0856/1.00-1)×365/730=4.28%&lt;4.5%，即投资收益率未达到业绩比较基准，则投资管理人不收取浮动管理费，客户剩余理财收益为：100,000.00×(1.0856-1.00-0.043）=4,260.00（元）。产品投资运作周期到期时，客户本周期获得的实际收益相当于达到年化收益率水平为：（4260+100,000.00×0.043）/100,000.00×365/730=4.28%。</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730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22002</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22002</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00"/>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63C75758"/>
    <w:multiLevelType w:val="singleLevel"/>
    <w:tmpl w:val="63C75758"/>
    <w:lvl w:ilvl="0" w:tentative="0">
      <w:start w:val="11"/>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IcJ33PDBXCS4OMvNT0RHN3uCVBg=" w:salt="4axSTVFOApybBRKA8V24B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3B812B9"/>
    <w:rsid w:val="06DB06E5"/>
    <w:rsid w:val="0A860334"/>
    <w:rsid w:val="0B2E1408"/>
    <w:rsid w:val="0E4224D6"/>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3AE4"/>
    <w:rsid w:val="3C516A3E"/>
    <w:rsid w:val="3C63252E"/>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9A546EF"/>
    <w:rsid w:val="5AB91E88"/>
    <w:rsid w:val="5CD210D9"/>
    <w:rsid w:val="5D7D987C"/>
    <w:rsid w:val="625426F3"/>
    <w:rsid w:val="64102A57"/>
    <w:rsid w:val="64DB6186"/>
    <w:rsid w:val="65DC2C48"/>
    <w:rsid w:val="68696415"/>
    <w:rsid w:val="686B32F0"/>
    <w:rsid w:val="6B37DFF8"/>
    <w:rsid w:val="6C1D1256"/>
    <w:rsid w:val="6C592131"/>
    <w:rsid w:val="6CA75DD7"/>
    <w:rsid w:val="6CEB63D2"/>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2978</Words>
  <Characters>16975</Characters>
  <Lines>141</Lines>
  <Paragraphs>39</Paragraphs>
  <TotalTime>3</TotalTime>
  <ScaleCrop>false</ScaleCrop>
  <LinksUpToDate>false</LinksUpToDate>
  <CharactersWithSpaces>19914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2024-01-04T03:42:31Z</dcterms:modified>
  <dc:title>附件1：</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