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普惠颐养”22002号开放式净值型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22002号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2024年1月12日至2024年1月18日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2026年1月14日</w:t>
            </w:r>
            <w:r>
              <w:rPr>
                <w:rFonts w:hint="eastAsia" w:ascii="宋体" w:hAnsi="宋体" w:eastAsia="宋体" w:cs="Times New Roman"/>
                <w:color w:val="000000"/>
                <w:kern w:val="0"/>
                <w:sz w:val="18"/>
                <w:szCs w:val="18"/>
                <w:u w:val="single"/>
                <w:lang w:val="en-US" w:eastAsia="zh-Hans" w:bidi="ar-SA"/>
              </w:rPr>
              <w:t>至2026年1月20日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22002号开放式净值型银行理财计划风险揭示书》、《温州银行“金鹿理财-普惠颐养”22002号开放式净值型银行理财计划产品说明书》、《温州银行“金鹿理财-普惠颐养”22002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4l+VScmuz95mVRk07RpujTIrWI=" w:salt="iDdt8p8dOwPHMRRvoYtI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CE00810"/>
    <w:rsid w:val="3BEF0754"/>
    <w:rsid w:val="511E88BC"/>
    <w:rsid w:val="7F7EC3B3"/>
    <w:rsid w:val="BBDDF786"/>
    <w:rsid w:val="DBDFACE4"/>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2024-01-04T02:54:59Z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