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普惠月享”3号开放式净值型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第36期32天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36</w:t>
            </w:r>
            <w:r>
              <w:rPr>
                <w:rFonts w:hint="eastAsia" w:ascii="宋体" w:hAnsi="宋体" w:eastAsia="宋体" w:cs="宋体"/>
                <w:color w:val="000000"/>
                <w:kern w:val="0"/>
                <w:sz w:val="18"/>
                <w:szCs w:val="18"/>
                <w:lang w:val="en-US" w:eastAsia="zh-CN" w:bidi="ar-SA"/>
              </w:rPr>
              <w:t>期32天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2.8%-3.2%</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2024年1月11日至2024年1月17日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2024年1月18日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2024年2月8日</w:t>
            </w:r>
            <w:r>
              <w:rPr>
                <w:rFonts w:hint="eastAsia" w:ascii="宋体" w:hAnsi="宋体" w:eastAsia="宋体" w:cs="Times New Roman"/>
                <w:color w:val="000000"/>
                <w:kern w:val="0"/>
                <w:sz w:val="18"/>
                <w:szCs w:val="18"/>
                <w:u w:val="single"/>
                <w:lang w:val="en-US" w:eastAsia="zh-Hans" w:bidi="ar-SA"/>
              </w:rPr>
              <w:t>至2024年2月18日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2024年2月19日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“金鹿理财-普惠月享”3号开放式净值型银行理财计划风险揭示书》、《温州银行“金鹿理财-普惠月享”3号开放式净值型银行理财计划产品说明书》、《温州银行“金鹿理财-普惠月享”3号开放式净值型（第</w:t>
            </w:r>
            <w:r>
              <w:rPr>
                <w:rFonts w:hint="eastAsia" w:ascii="宋体" w:hAnsi="宋体" w:eastAsia="宋体"/>
                <w:color w:val="000000"/>
                <w:sz w:val="18"/>
                <w:szCs w:val="20"/>
                <w:lang w:val="en-US" w:eastAsia="zh-Hans"/>
              </w:rPr>
              <w:t>36</w:t>
            </w:r>
            <w:r>
              <w:rPr>
                <w:rFonts w:hint="eastAsia" w:ascii="宋体" w:hAnsi="宋体" w:eastAsia="宋体"/>
                <w:color w:val="000000"/>
                <w:sz w:val="18"/>
                <w:szCs w:val="20"/>
              </w:rPr>
              <w:t>期32天）银行理财计划开放认购（申购）申请书》和《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gLH/JFXVfoIBeZKDeSNKJ78bL+s=" w:salt="gobKwGb72aKwouk3Y58Gb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7C796F71"/>
    <w:rsid w:val="7E3744D6"/>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2024-01-04T02:54:58Z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