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温盈”20026号开放式净值型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20026号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2024年1月10日至2024年1月16日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2024年10月16日</w:t>
            </w:r>
            <w:r>
              <w:rPr>
                <w:rFonts w:hint="eastAsia" w:ascii="宋体" w:hAnsi="宋体" w:eastAsia="宋体" w:cs="Times New Roman"/>
                <w:color w:val="000000"/>
                <w:kern w:val="0"/>
                <w:sz w:val="18"/>
                <w:szCs w:val="18"/>
                <w:u w:val="single"/>
                <w:lang w:val="en-US" w:eastAsia="zh-Hans" w:bidi="ar-SA"/>
              </w:rPr>
              <w:t>至2024年10月22日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2024年10月23日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“金鹿理财-温盈”20026号开放式净值型银行理财计划风险揭示书》、《温州银行“金鹿理财-温盈”20026号开放式净值型银行理财计划产品说明书》、《温州银行“金鹿理财-温盈”20026号开放式净值型（第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4AP0Mr473ECKWSubpUrKbuFk8rE=" w:salt="iAVKZvd0x0JLkYZRFl/dD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79B924A"/>
    <w:rsid w:val="7CDF1E53"/>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2024-01-04T02:54:59Z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