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温盈”19048号开放式净值型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第5期369天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19048号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期369天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3.3%-3.7%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2024年1月17日至2024年1月23日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369天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2025年1月22日</w:t>
            </w:r>
            <w:r>
              <w:rPr>
                <w:rFonts w:hint="eastAsia" w:ascii="宋体" w:hAnsi="宋体" w:eastAsia="宋体" w:cs="Times New Roman"/>
                <w:color w:val="000000"/>
                <w:kern w:val="0"/>
                <w:sz w:val="18"/>
                <w:szCs w:val="18"/>
                <w:u w:val="single"/>
                <w:lang w:val="en-US" w:eastAsia="zh-Hans" w:bidi="ar-SA"/>
              </w:rPr>
              <w:t>至2025年1月26日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“金鹿理财-温盈”19048号开放式净值型银行理财计划风险揭示书》、《温州银行“金鹿理财-温盈”19048号开放式净值型银行理财计划产品说明书》、《温州银行“金鹿理财-温盈”19048号开放式净值型（第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期369天）银行理财计划开放认购（申购）申请书》和《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pEOOPez5auZYDNTIz5tcS/0Xsts=" w:salt="B50cNVIsIPGnDoUf9Qc6J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EDF457E"/>
    <w:rsid w:val="511E88BC"/>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2024-01-12T09:14:52Z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