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23029</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23029</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23029</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w:t>
      </w:r>
      <w:bookmarkStart w:id="0" w:name="_GoBack"/>
      <w:r>
        <w:rPr>
          <w:rFonts w:hint="eastAsia" w:ascii="宋体" w:hAnsi="宋体"/>
          <w:szCs w:val="21"/>
        </w:rPr>
        <w:t>可能导致投资者资产损失的所有因素。在您签约购买本理财产品前，应当仔细阅读本风险揭示书、《温</w:t>
      </w:r>
      <w:bookmarkEnd w:id="0"/>
      <w:r>
        <w:rPr>
          <w:rFonts w:hint="eastAsia" w:ascii="宋体" w:hAnsi="宋体"/>
          <w:szCs w:val="21"/>
        </w:rPr>
        <w:t>州银行“金鹿理财”银行理财计划合约》、《温州银行“金鹿理财-普惠季享”</w:t>
      </w:r>
      <w:r>
        <w:rPr>
          <w:rFonts w:ascii="宋体"/>
          <w:color w:val="000000"/>
          <w:szCs w:val="21"/>
          <w:u w:val="single"/>
        </w:rPr>
        <w:t>23029</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23029</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23029</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23029</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JX2329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C1092223000068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2024年1月16日</w:t>
            </w:r>
            <w:r>
              <w:rPr>
                <w:rFonts w:hint="eastAsia"/>
                <w:sz w:val="18"/>
                <w:u w:val="single"/>
              </w:rPr>
              <w:t>至</w:t>
            </w:r>
            <w:r>
              <w:rPr>
                <w:color w:val="000000"/>
                <w:sz w:val="18"/>
                <w:u w:val="single"/>
              </w:rPr>
              <w:t>2024年1月22日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szCs w:val="18"/>
                <w:u w:val="single"/>
              </w:rPr>
              <w:t>2024年1月23日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color w:val="000000"/>
                <w:sz w:val="18"/>
                <w:szCs w:val="24"/>
                <w:u w:val="single"/>
              </w:rPr>
              <w:t>2024年5月21日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3.15%（年化）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本产品业绩比较基准为3.15%（年化）。本产品业绩比较基准仅作为计提产品浮动管理费的依据，不构成温州银行对该理财产品的任何收益承诺。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color w:val="000000"/>
          <w:sz w:val="18"/>
          <w:szCs w:val="18"/>
        </w:rPr>
        <w:t>2024年1月16日</w:t>
      </w:r>
      <w:r>
        <w:rPr>
          <w:rFonts w:hint="eastAsia"/>
          <w:sz w:val="18"/>
        </w:rPr>
        <w:t>至</w:t>
      </w:r>
      <w:r>
        <w:rPr>
          <w:color w:val="000000"/>
          <w:sz w:val="18"/>
        </w:rPr>
        <w:t>2024年1月22日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szCs w:val="18"/>
        </w:rPr>
        <w:t>2024年5月21日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1.012，此时，(1.012/1.00-1)×365/119=3.68%&gt;3.15%，即投资收益超越业绩比较基准，则投资管理人对超过业绩比较基准部分收益收取浮动管理费，浮动管理费为：1,000,000.00×[1.012-1.00×(1+3.15%×119/365)]×80%=1384.11（元）。扣除浮动管理费后，客户最终收益为：1,000,000.00×（1.012-1.00）-1384.11=10615.89（元），产品到期时，客户获得的实际收益相当于达到年化收益率水平为：10615.89/1,000,000.00×365/119=3.26%。</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1.01，此时，(1.01/1.00-1)×365/119=3.07%&lt;3.15%，即投资收益未达到业绩比较基准，则投资管理人不收取浮动管理费，客户最终收益为：1,000,000.00×(1.01-1.00）=10000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23029</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az9qECVosZikUEjQQyPk/jI5VQ=" w:salt="5p/LdqRr2GT22ay+Rrsyx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2D7A72"/>
    <w:rsid w:val="00314FC3"/>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AE6E5B"/>
    <w:rsid w:val="01B25DFE"/>
    <w:rsid w:val="020D5912"/>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C54C98"/>
    <w:rsid w:val="161D1528"/>
    <w:rsid w:val="17BF4271"/>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6F6944D6"/>
    <w:rsid w:val="718A5772"/>
    <w:rsid w:val="76592994"/>
    <w:rsid w:val="79632EC7"/>
    <w:rsid w:val="7AFF2EFC"/>
    <w:rsid w:val="7EBDA5F4"/>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2087</Words>
  <Characters>11901</Characters>
  <Lines>99</Lines>
  <Paragraphs>27</Paragraphs>
  <TotalTime>11</TotalTime>
  <ScaleCrop>false</ScaleCrop>
  <LinksUpToDate>false</LinksUpToDate>
  <CharactersWithSpaces>13961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2022-03-10T15:10:00Z</dcterms:created>
  <dc:creator>陈浩</dc:creator>
  <cp:lastModifiedBy>应心茹</cp:lastModifiedBy>
  <dcterms:modified xsi:type="dcterms:W3CDTF">2024-01-12T09:19:17Z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