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21003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21003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21003</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w:t>
      </w:r>
      <w:bookmarkStart w:id="0" w:name="_GoBack"/>
      <w:bookmarkEnd w:id="0"/>
      <w:r>
        <w:rPr>
          <w:rFonts w:hint="eastAsia" w:ascii="宋体" w:hAnsi="宋体"/>
          <w:szCs w:val="21"/>
        </w:rPr>
        <w:t>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21003</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21003</w:t>
      </w:r>
      <w:r>
        <w:rPr>
          <w:rFonts w:hint="eastAsia" w:ascii="宋体" w:hAnsi="宋体"/>
          <w:szCs w:val="21"/>
        </w:rPr>
        <w:t>号开放式净值型银行理财计划产品说明书》、《温州银行“金鹿理财-普惠颐养”</w:t>
      </w:r>
      <w:r>
        <w:rPr>
          <w:color w:val="000000"/>
          <w:szCs w:val="21"/>
        </w:rPr>
        <w:t>21003</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21003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21003</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21003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PY2103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C1092221000029</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2021年1月20日至2021年1月26日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首个投资运作周期的业绩比较基准为4.7%（年化）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本理财计划成立日为2021年1月27日。温州银行有权根据实际募集情况选择产品提前成立，若温州银行采取以上措施，温州银行将就产品相应要素的调整事宜于提前成立日前的一个工作日在温州银行</w:t>
            </w:r>
            <w:r>
              <w:rPr>
                <w:rFonts w:hint="eastAsia"/>
                <w:sz w:val="18"/>
                <w:szCs w:val="18"/>
              </w:rPr>
              <w:t>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21003</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21003</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21003</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：本理财计划成立日为2021年1月27日，从成立日起，每</w:t>
      </w:r>
      <w:r>
        <w:rPr>
          <w:rFonts w:ascii="宋体" w:hAnsi="宋体"/>
          <w:sz w:val="18"/>
        </w:rPr>
        <w:t>【</w:t>
      </w:r>
      <w:r>
        <w:rPr>
          <w:rFonts w:hint="eastAsia" w:ascii="宋体" w:hAnsi="宋体"/>
          <w:color w:val="000000"/>
          <w:sz w:val="18"/>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本产品预计到期终止日为2033年1月27日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21003</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以某客户投资10万元为例，购买时产品净值为1.00元，折算份额为100,000.00份,该投资运作周期的理财期限为1092天。假设该投资运作周期的产品业绩比较基准为 4.7% ，该投资运作周期单位累计分红净额0.097。投资运作周期到期清算时，扣除托管费、固定管理费后及其他费用（不含浮动管理费），如产品累计净值为1.1455，此时， (1.1455/1.00-1)×365/1092= 4.86%&gt; 4.7%，即投资收益率超越业绩比较基准，则投资管理人对超过业绩比较基准部分收益收取浮动管理费，浮动管理费为： 100,000.00×[1.1455-1.00×(1+ 4.7%×1092/365)]×50%=244.32（元）。扣除浮动管理费后，客户剩余理财收益为：100,000.00×（1.1455-1.00-0.097）-244.32=4605.68（元），产品投资运作周期到期时，客户本周期获得的实际收益相当于达到年化收益率水平为：（4605.68+100,000.00×0.097）/100,000.00×365/1092=4.78%。</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1092 天。假设该投资运作周期的业绩比较基准为 4.7% ，该投资运作周期单位累计分红净额0.091。投资运作周期到期清算时，扣除托管费、固定管理费及其他费用（不含浮动管理费）后，如产品净值为1.1395，此时，(1.1395/1.00-1)×365/1092=4.66%&lt;4.7%，即投资收益率未达到业绩比较基准，则投资管理人不收取浮动管理费，客户剩余理财收益为：100,000.00×(1.1395-1.00-0.091）=4,850.00（元）。产品投资运作周期到期时，客户本周期获得的实际收益相当于达到年化收益率水平为：（4850+100,000.00×0.091）/100,000.00×365/1092=4.66%。</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1092天。假设产品业绩比较基准为4.7%，该投资运作周期单位累计分红净额0.005。到期时扣除托管费、固定管理费及其他费用（不含浮动管理费）后，如产品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21003</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21003</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00"/>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63C75758"/>
    <w:multiLevelType w:val="singleLevel"/>
    <w:tmpl w:val="63C75758"/>
    <w:lvl w:ilvl="0" w:tentative="0">
      <w:start w:val="11"/>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iX+K/fDRooH7fR6r90nHG7MZbv8=" w:salt="jbML0qUQ7svbgtYovtP71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44375FE"/>
    <w:rsid w:val="344867C2"/>
    <w:rsid w:val="37362DEA"/>
    <w:rsid w:val="3C513AE4"/>
    <w:rsid w:val="3C516A3E"/>
    <w:rsid w:val="3C63252E"/>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9A546EF"/>
    <w:rsid w:val="5AB91E88"/>
    <w:rsid w:val="5CD210D9"/>
    <w:rsid w:val="5D7D987C"/>
    <w:rsid w:val="5ECE0EF3"/>
    <w:rsid w:val="625426F3"/>
    <w:rsid w:val="64102A57"/>
    <w:rsid w:val="64DB6186"/>
    <w:rsid w:val="65DC2C48"/>
    <w:rsid w:val="68696415"/>
    <w:rsid w:val="686B32F0"/>
    <w:rsid w:val="6B37DFF8"/>
    <w:rsid w:val="6C1D1256"/>
    <w:rsid w:val="6C592131"/>
    <w:rsid w:val="6CA75DD7"/>
    <w:rsid w:val="6CEB63D2"/>
    <w:rsid w:val="731C3643"/>
    <w:rsid w:val="7354733A"/>
    <w:rsid w:val="75FE40B4"/>
    <w:rsid w:val="769C0D96"/>
    <w:rsid w:val="77AB7FA4"/>
    <w:rsid w:val="79A903BE"/>
    <w:rsid w:val="7A8D5E63"/>
    <w:rsid w:val="7BD656B6"/>
    <w:rsid w:val="7C002445"/>
    <w:rsid w:val="7C1A5C70"/>
    <w:rsid w:val="7E2730F6"/>
    <w:rsid w:val="7EF472EA"/>
    <w:rsid w:val="7FEE272B"/>
    <w:rsid w:val="B4DDE0FF"/>
    <w:rsid w:val="BAECF763"/>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2978</Words>
  <Characters>16975</Characters>
  <Lines>141</Lines>
  <Paragraphs>39</Paragraphs>
  <TotalTime>14</TotalTime>
  <ScaleCrop>false</ScaleCrop>
  <LinksUpToDate>false</LinksUpToDate>
  <CharactersWithSpaces>19914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2022-03-03T18:57:00Z</dcterms:created>
  <dc:creator>潘伟蕾</dc:creator>
  <cp:lastModifiedBy>应心茹</cp:lastModifiedBy>
  <cp:lastPrinted>2012-11-29T18:11:00Z</cp:lastPrinted>
  <dcterms:modified xsi:type="dcterms:W3CDTF">2024-01-15T01:50:51Z</dcterms:modified>
  <dc:title>附件1：</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