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hint="eastAsia" w:ascii="黑体" w:eastAsia="黑体"/>
          <w:sz w:val="30"/>
          <w:szCs w:val="30"/>
        </w:rPr>
      </w:pPr>
      <w:r>
        <w:rPr>
          <w:rFonts w:hint="eastAsia" w:ascii="黑体" w:eastAsia="黑体"/>
          <w:sz w:val="30"/>
          <w:szCs w:val="30"/>
        </w:rPr>
        <w:t>温州银行“金鹿理财-普惠月享”</w:t>
      </w:r>
      <w:r>
        <w:rPr>
          <w:rFonts w:hint="eastAsia" w:ascii="黑体" w:eastAsia="黑体"/>
          <w:color w:val="000000"/>
          <w:sz w:val="30"/>
          <w:szCs w:val="30"/>
          <w:u w:val="single"/>
        </w:rPr>
        <w:t>4</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，请在购买该理财产品前特别注意以下事项：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您将购买的温州银行“金鹿理财</w:t>
      </w:r>
      <w:r>
        <w:rPr>
          <w:rFonts w:hint="eastAsia" w:ascii="宋体" w:hAnsi="宋体"/>
          <w:szCs w:val="21"/>
        </w:rPr>
        <w:t>-</w:t>
      </w:r>
      <w:r>
        <w:rPr>
          <w:rFonts w:hint="eastAsia"/>
          <w:szCs w:val="21"/>
        </w:rPr>
        <w:t>普惠月享”</w:t>
      </w:r>
      <w:r>
        <w:rPr>
          <w:rFonts w:hint="eastAsia"/>
        </w:rPr>
        <w:t xml:space="preserve"> </w:t>
      </w:r>
      <w:r>
        <w:rPr>
          <w:rFonts w:hint="eastAsia"/>
          <w:color w:val="000000"/>
          <w:szCs w:val="21"/>
          <w:u w:val="single"/>
        </w:rPr>
        <w:t>4</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“金鹿理财-普惠月享”4号开放式净值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PR2级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本理财产品适合客户：经温州银行评估为稳健型、平衡型、进取型、激进型的个人投资者，以及机构投资者。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普惠月享”4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bookmarkStart w:id="0" w:name="_GoBack"/>
      <w:bookmarkEnd w:id="0"/>
      <w:r>
        <w:rPr>
          <w:rFonts w:hint="eastAsia" w:ascii="宋体" w:hAnsi="宋体"/>
          <w:color w:val="000000"/>
          <w:szCs w:val="21"/>
        </w:rPr>
        <w:t>-普惠月享”4号开放式净值型银行理财计划产品说明书》、《温州银行“金鹿理财-普惠月享”4号开放式净值型（第i期）银行理财计划开放认购（申购）申请书》和《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本人经温州银行评估的风险承受能力等级为（仅个人客户填写）：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w:t>
      </w:r>
      <w:r>
        <w:rPr>
          <w:rFonts w:hint="eastAsia"/>
          <w:b/>
          <w:szCs w:val="21"/>
        </w:rPr>
        <w:t>/本机构</w:t>
      </w:r>
      <w:r>
        <w:rPr>
          <w:rFonts w:hint="eastAsia" w:ascii="宋体" w:hAnsi="宋体"/>
          <w:b/>
          <w:szCs w:val="21"/>
        </w:rPr>
        <w:t>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本人/本机构已经阅读上述风险提示，愿意承担投资风险</w:t>
      </w:r>
      <w:r>
        <w:rPr>
          <w:rFonts w:hint="eastAsia"/>
          <w:szCs w:val="21"/>
        </w:rPr>
        <w:t>”。）</w:t>
      </w:r>
    </w:p>
    <w:p>
      <w:pPr>
        <w:adjustRightInd w:val="0"/>
        <w:snapToGrid w:val="0"/>
        <w:spacing w:line="312" w:lineRule="auto"/>
        <w:jc w:val="left"/>
        <w:rPr>
          <w:rFonts w:hint="eastAsia" w:ascii="宋体" w:hAnsi="宋体"/>
          <w:szCs w:val="21"/>
        </w:rPr>
      </w:pPr>
      <w:r>
        <w:rPr>
          <w:rFonts w:hint="eastAsia" w:ascii="宋体" w:hAnsi="宋体"/>
          <w:szCs w:val="21"/>
        </w:rPr>
        <w:t>个人投资者（签字）：</w:t>
      </w:r>
    </w:p>
    <w:p>
      <w:pPr>
        <w:adjustRightInd w:val="0"/>
        <w:snapToGrid w:val="0"/>
        <w:spacing w:line="312" w:lineRule="auto"/>
        <w:jc w:val="left"/>
        <w:rPr>
          <w:rFonts w:hint="eastAsia" w:ascii="宋体" w:hAnsi="宋体"/>
          <w:szCs w:val="21"/>
        </w:rPr>
      </w:pPr>
      <w:r>
        <w:rPr>
          <w:rFonts w:hint="eastAsia" w:ascii="宋体" w:hAnsi="宋体"/>
          <w:szCs w:val="21"/>
        </w:rPr>
        <w:t>机构投资者（盖章）：</w:t>
      </w:r>
    </w:p>
    <w:p>
      <w:pPr>
        <w:adjustRightInd w:val="0"/>
        <w:snapToGrid w:val="0"/>
        <w:spacing w:line="312" w:lineRule="auto"/>
        <w:jc w:val="left"/>
        <w:rPr>
          <w:rFonts w:hint="eastAsia" w:ascii="宋体" w:hAnsi="宋体"/>
          <w:szCs w:val="21"/>
        </w:rPr>
      </w:pPr>
      <w:r>
        <w:rPr>
          <w:rFonts w:hint="eastAsia" w:ascii="宋体" w:hAnsi="宋体"/>
          <w:szCs w:val="21"/>
        </w:rPr>
        <w:t xml:space="preserve">机构投资者法定代表人或授权代表（签名或盖章）：                            </w:t>
      </w:r>
    </w:p>
    <w:p>
      <w:pPr>
        <w:adjustRightInd w:val="0"/>
        <w:snapToGrid w:val="0"/>
        <w:spacing w:line="312" w:lineRule="auto"/>
        <w:jc w:val="right"/>
        <w:rPr>
          <w:rFonts w:hint="eastAsia"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hint="eastAsia" w:ascii="黑体" w:eastAsia="黑体"/>
          <w:sz w:val="30"/>
          <w:szCs w:val="30"/>
        </w:rPr>
      </w:pPr>
      <w:r>
        <w:rPr>
          <w:rFonts w:hint="eastAsia" w:ascii="黑体" w:eastAsia="黑体"/>
          <w:sz w:val="30"/>
          <w:szCs w:val="30"/>
        </w:rPr>
        <w:t>温州银行“金鹿理财-普惠月享”</w:t>
      </w:r>
      <w:r>
        <w:rPr>
          <w:rFonts w:hint="eastAsia" w:ascii="黑体" w:eastAsia="黑体"/>
          <w:color w:val="000000"/>
          <w:sz w:val="30"/>
          <w:szCs w:val="30"/>
          <w:u w:val="single"/>
        </w:rPr>
        <w:t>4号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rFonts w:hint="eastAsia"/>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普惠月享”4号开放式净值型银行理财计划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upright="1"/>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upright="1"/>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“金鹿理财-普惠月享”</w:t>
            </w:r>
            <w:r>
              <w:rPr>
                <w:rFonts w:hint="eastAsia"/>
                <w:color w:val="000000"/>
                <w:sz w:val="18"/>
                <w:szCs w:val="18"/>
                <w:u w:val="single"/>
              </w:rPr>
              <w:t>4</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sz w:val="18"/>
                <w:szCs w:val="18"/>
              </w:rPr>
            </w:pPr>
            <w:r>
              <w:rPr>
                <w:rFonts w:hint="eastAsia"/>
                <w:color w:val="000000"/>
                <w:sz w:val="18"/>
                <w:szCs w:val="18"/>
              </w:rPr>
              <w:t>YX0004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hAnsi="Calibri"/>
                <w:sz w:val="18"/>
                <w:szCs w:val="18"/>
              </w:rPr>
            </w:pPr>
            <w:r>
              <w:rPr>
                <w:rFonts w:hint="eastAsia" w:hAnsi="Calibri"/>
                <w:color w:val="000000"/>
                <w:sz w:val="18"/>
                <w:szCs w:val="18"/>
              </w:rPr>
              <w:t>C1092221000143</w:t>
            </w:r>
          </w:p>
          <w:p>
            <w:pPr>
              <w:pStyle w:val="15"/>
              <w:adjustRightInd w:val="0"/>
              <w:snapToGrid w:val="0"/>
              <w:spacing w:before="0" w:beforeAutospacing="0" w:after="0" w:afterAutospacing="0" w:line="288" w:lineRule="auto"/>
              <w:jc w:val="center"/>
              <w:rPr>
                <w:rFonts w:hint="eastAsia" w:hAnsi="Calibri"/>
                <w:sz w:val="18"/>
                <w:szCs w:val="18"/>
              </w:rPr>
            </w:pPr>
            <w:r>
              <w:rPr>
                <w:rFonts w:hAnsi="Calibri"/>
                <w:sz w:val="18"/>
                <w:szCs w:val="18"/>
              </w:rPr>
              <w:t>(投资者可登录中国理财网www.chinawealth.com.cn查询产品信息)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cs="Times New Roman"/>
                <w:sz w:val="18"/>
                <w:szCs w:val="18"/>
              </w:rPr>
              <w:t>投资</w:t>
            </w:r>
            <w:r>
              <w:rPr>
                <w:rFonts w:hint="eastAsia" w:cs="Times New Roman"/>
                <w:sz w:val="18"/>
                <w:szCs w:val="18"/>
              </w:rPr>
              <w:t>类型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经温州银行评估为稳健型、平衡型、进取型、激进型的个人投资者，以及机构投资者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发行规模上限50亿份，首个投资运作周期发行规模不超过5亿份。若产品发行规模超出上限，银行有权暂停接受认购</w:t>
            </w:r>
            <w:r>
              <w:rPr>
                <w:rFonts w:hint="eastAsia"/>
                <w:sz w:val="18"/>
                <w:szCs w:val="18"/>
              </w:rPr>
              <w:t>（申购）</w:t>
            </w:r>
            <w:r>
              <w:rPr>
                <w:rFonts w:hint="eastAsia" w:cs="Times New Roman"/>
                <w:sz w:val="18"/>
                <w:szCs w:val="18"/>
              </w:rPr>
              <w:t>申请。（温州银行有权根据产品募集和市场情况调整计划发行量。若认购期</w:t>
            </w:r>
            <w:r>
              <w:rPr>
                <w:rFonts w:hint="eastAsia"/>
                <w:sz w:val="18"/>
                <w:szCs w:val="18"/>
              </w:rPr>
              <w:t>（申购）期</w:t>
            </w:r>
            <w:r>
              <w:rPr>
                <w:rFonts w:hint="eastAsia" w:cs="Times New Roman"/>
                <w:sz w:val="18"/>
                <w:szCs w:val="18"/>
              </w:rPr>
              <w:t>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2021年5月13日至2021年5月19日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首个投资运作周期的业绩比较基准为4.1%（年化）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15"/>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本理财计划成立日为2021年5月20日。温州银行有权根据实际募集情况选择产品提前成立，若温州银行采取以上措施，温州银行将就产品相应要素的调整事宜于提前成立日前的一个工作日在温州银行网站予以公告。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rPr>
                <w:rFonts w:hint="eastAsia"/>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28</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《温州银行“金鹿理财-普惠月享”4号开放式净值型（第i期）银行理财计划开放认购（申购）申请书》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rFonts w:hint="eastAsia"/>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autoSpaceDN w:val="0"/>
              <w:jc w:val="center"/>
              <w:rPr>
                <w:rFonts w:hint="eastAsia"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上限</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left"/>
              <w:rPr>
                <w:rFonts w:hint="eastAsia"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hint="eastAsia"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hint="eastAsia" w:cs="Times New Roman"/>
                <w:sz w:val="18"/>
                <w:szCs w:val="18"/>
              </w:rPr>
            </w:pPr>
            <w:r>
              <w:rPr>
                <w:rFonts w:hint="eastAsia" w:cs="Times New Roman"/>
                <w:sz w:val="18"/>
                <w:szCs w:val="18"/>
              </w:rPr>
              <w:t>在本理财产品扣除产品固定管理费（如有）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7"/>
              <w:widowControl/>
              <w:spacing w:before="100" w:beforeAutospacing="1" w:after="100" w:afterAutospacing="1"/>
              <w:rPr>
                <w:rFonts w:hint="eastAsia"/>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center"/>
              <w:rPr>
                <w:rFonts w:hint="eastAsia"/>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left"/>
              <w:rPr>
                <w:rFonts w:hint="eastAsia"/>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hint="eastAsia"/>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jc w:val="left"/>
              <w:rPr>
                <w:rFonts w:hint="eastAsia"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rFonts w:hint="eastAsia"/>
          <w:sz w:val="18"/>
          <w:szCs w:val="18"/>
        </w:rPr>
      </w:pPr>
      <w:r>
        <w:rPr>
          <w:rFonts w:hint="eastAsia"/>
          <w:sz w:val="18"/>
          <w:szCs w:val="18"/>
        </w:rPr>
        <w:t>本产品为固定收益类理财产品，温州银行主要将理财产品募集资金直接或间接配置于存款、债券回购、货币市场工具、债券等债权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199"/>
        <w:gridCol w:w="5498"/>
        <w:gridCol w:w="1703"/>
      </w:tblGrid>
      <w:tr>
        <w:tblPrEx>
          <w:tblCellMar>
            <w:top w:w="0" w:type="dxa"/>
            <w:left w:w="108" w:type="dxa"/>
            <w:bottom w:w="0" w:type="dxa"/>
            <w:right w:w="108" w:type="dxa"/>
          </w:tblCellMar>
        </w:tblPrEx>
        <w:trPr>
          <w:trHeight w:val="270" w:hRule="atLeast"/>
          <w:jc w:val="center"/>
        </w:trPr>
        <w:tc>
          <w:tcPr>
            <w:tcW w:w="2199" w:type="dxa"/>
            <w:tcBorders>
              <w:top w:val="single" w:color="auto" w:sz="4" w:space="0"/>
              <w:left w:val="single" w:color="auto" w:sz="4" w:space="0"/>
              <w:bottom w:val="single" w:color="auto" w:sz="4" w:space="0"/>
              <w:right w:val="single" w:color="auto" w:sz="4" w:space="0"/>
            </w:tcBorders>
            <w:noWrap w:val="0"/>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498"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199" w:type="dxa"/>
            <w:vMerge w:val="restart"/>
            <w:tcBorders>
              <w:top w:val="nil"/>
              <w:left w:val="single" w:color="auto" w:sz="4" w:space="0"/>
              <w:bottom w:val="single" w:color="000000" w:sz="4" w:space="0"/>
              <w:right w:val="single" w:color="auto" w:sz="4" w:space="0"/>
            </w:tcBorders>
            <w:noWrap w:val="0"/>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498" w:type="dxa"/>
            <w:tcBorders>
              <w:top w:val="nil"/>
              <w:left w:val="nil"/>
              <w:bottom w:val="single" w:color="auto" w:sz="4" w:space="0"/>
              <w:right w:val="single" w:color="auto" w:sz="4" w:space="0"/>
            </w:tcBorders>
            <w:noWrap w:val="0"/>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noWrap w:val="0"/>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199"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kern w:val="0"/>
                <w:sz w:val="18"/>
                <w:szCs w:val="18"/>
              </w:rPr>
            </w:pPr>
          </w:p>
        </w:tc>
        <w:tc>
          <w:tcPr>
            <w:tcW w:w="5498" w:type="dxa"/>
            <w:tcBorders>
              <w:top w:val="nil"/>
              <w:left w:val="nil"/>
              <w:bottom w:val="single" w:color="auto" w:sz="4" w:space="0"/>
              <w:right w:val="single" w:color="auto" w:sz="4" w:space="0"/>
            </w:tcBorders>
            <w:noWrap w:val="0"/>
            <w:vAlign w:val="bottom"/>
          </w:tcPr>
          <w:p>
            <w:pPr>
              <w:widowControl/>
              <w:jc w:val="left"/>
              <w:rPr>
                <w:rFonts w:ascii="宋体" w:hAnsi="宋体" w:cs="宋体"/>
                <w:kern w:val="0"/>
                <w:sz w:val="18"/>
                <w:szCs w:val="18"/>
              </w:rPr>
            </w:pPr>
            <w:r>
              <w:rPr>
                <w:rFonts w:hint="eastAsia" w:ascii="宋体" w:hAnsi="宋体" w:cs="宋体"/>
                <w:color w:val="000000"/>
                <w:kern w:val="0"/>
                <w:sz w:val="18"/>
                <w:szCs w:val="18"/>
              </w:rPr>
              <w:t>债券回购、</w:t>
            </w:r>
            <w:r>
              <w:rPr>
                <w:rFonts w:hint="eastAsia" w:ascii="宋体" w:hAnsi="宋体" w:cs="宋体"/>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199"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kern w:val="0"/>
                <w:sz w:val="18"/>
                <w:szCs w:val="18"/>
              </w:rPr>
            </w:pPr>
          </w:p>
        </w:tc>
        <w:tc>
          <w:tcPr>
            <w:tcW w:w="5498" w:type="dxa"/>
            <w:tcBorders>
              <w:top w:val="nil"/>
              <w:left w:val="nil"/>
              <w:bottom w:val="single" w:color="auto" w:sz="4" w:space="0"/>
              <w:right w:val="single" w:color="auto" w:sz="4" w:space="0"/>
            </w:tcBorders>
            <w:noWrap w:val="0"/>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199" w:type="dxa"/>
            <w:tcBorders>
              <w:top w:val="nil"/>
              <w:left w:val="single" w:color="auto" w:sz="4" w:space="0"/>
              <w:bottom w:val="single" w:color="auto" w:sz="4" w:space="0"/>
              <w:right w:val="single" w:color="auto" w:sz="4" w:space="0"/>
            </w:tcBorders>
            <w:noWrap w:val="0"/>
            <w:vAlign w:val="bottom"/>
          </w:tcPr>
          <w:p>
            <w:pPr>
              <w:widowControl/>
              <w:jc w:val="left"/>
              <w:rPr>
                <w:rFonts w:ascii="宋体" w:hAnsi="宋体" w:cs="宋体"/>
                <w:kern w:val="0"/>
                <w:sz w:val="18"/>
                <w:szCs w:val="18"/>
              </w:rPr>
            </w:pPr>
            <w:r>
              <w:rPr>
                <w:rFonts w:hint="eastAsia" w:ascii="宋体" w:hAnsi="宋体" w:cs="宋体"/>
                <w:kern w:val="0"/>
                <w:sz w:val="18"/>
                <w:szCs w:val="18"/>
              </w:rPr>
              <w:t>权益类资产</w:t>
            </w:r>
          </w:p>
        </w:tc>
        <w:tc>
          <w:tcPr>
            <w:tcW w:w="5498" w:type="dxa"/>
            <w:tcBorders>
              <w:top w:val="nil"/>
              <w:left w:val="nil"/>
              <w:bottom w:val="single" w:color="auto" w:sz="4" w:space="0"/>
              <w:right w:val="single" w:color="auto" w:sz="4" w:space="0"/>
            </w:tcBorders>
            <w:noWrap w:val="0"/>
            <w:vAlign w:val="bottom"/>
          </w:tcPr>
          <w:p>
            <w:pPr>
              <w:widowControl/>
              <w:jc w:val="left"/>
              <w:rPr>
                <w:rFonts w:ascii="宋体" w:hAnsi="宋体" w:cs="宋体"/>
                <w:kern w:val="0"/>
                <w:sz w:val="18"/>
                <w:szCs w:val="18"/>
              </w:rPr>
            </w:pPr>
            <w:r>
              <w:rPr>
                <w:rFonts w:hint="eastAsia" w:ascii="宋体" w:hAnsi="宋体" w:cs="宋体"/>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noWrap w:val="0"/>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rFonts w:hint="eastAsia"/>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rFonts w:hint="eastAsia"/>
          <w:bCs/>
          <w:sz w:val="18"/>
          <w:szCs w:val="18"/>
        </w:rPr>
      </w:pPr>
      <w:r>
        <w:rPr>
          <w:rFonts w:hint="eastAsia"/>
          <w:bCs/>
          <w:sz w:val="18"/>
          <w:szCs w:val="18"/>
        </w:rPr>
        <w:t>主要拟投资市场、资产的流动性风险评估</w:t>
      </w:r>
    </w:p>
    <w:p>
      <w:pPr>
        <w:adjustRightInd w:val="0"/>
        <w:snapToGrid w:val="0"/>
        <w:spacing w:line="281" w:lineRule="auto"/>
        <w:rPr>
          <w:rFonts w:hint="eastAsia"/>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rFonts w:hint="eastAsia"/>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rFonts w:hint="eastAsia"/>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rFonts w:hint="eastAsia"/>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rFonts w:hint="eastAsia"/>
          <w:b/>
          <w:bCs/>
          <w:sz w:val="18"/>
          <w:szCs w:val="18"/>
        </w:rPr>
      </w:pPr>
      <w:r>
        <w:rPr>
          <w:rFonts w:hint="eastAsia"/>
          <w:b/>
          <w:bCs/>
          <w:sz w:val="18"/>
          <w:szCs w:val="18"/>
        </w:rPr>
        <w:t>投资管理人</w:t>
      </w:r>
    </w:p>
    <w:p>
      <w:pPr>
        <w:adjustRightInd w:val="0"/>
        <w:snapToGrid w:val="0"/>
        <w:spacing w:line="286" w:lineRule="auto"/>
        <w:rPr>
          <w:rFonts w:hint="eastAsia"/>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rFonts w:hint="eastAsia"/>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深圳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rFonts w:hint="eastAsia"/>
          <w:b/>
          <w:bCs/>
          <w:sz w:val="18"/>
          <w:szCs w:val="18"/>
        </w:rPr>
      </w:pPr>
      <w:r>
        <w:rPr>
          <w:rFonts w:hint="eastAsia"/>
          <w:b/>
          <w:bCs/>
          <w:sz w:val="18"/>
          <w:szCs w:val="18"/>
        </w:rPr>
        <w:t>投资合作机构</w:t>
      </w:r>
    </w:p>
    <w:p>
      <w:pPr>
        <w:adjustRightInd w:val="0"/>
        <w:snapToGrid w:val="0"/>
        <w:spacing w:line="286" w:lineRule="auto"/>
        <w:rPr>
          <w:rFonts w:hint="eastAsia"/>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rFonts w:hint="eastAsia"/>
          <w:b/>
          <w:bCs/>
          <w:sz w:val="18"/>
          <w:szCs w:val="18"/>
        </w:rPr>
      </w:pPr>
      <w:r>
        <w:rPr>
          <w:rFonts w:hint="eastAsia"/>
          <w:b/>
          <w:bCs/>
          <w:sz w:val="18"/>
          <w:szCs w:val="18"/>
        </w:rPr>
        <w:t>理财产品估值</w:t>
      </w:r>
    </w:p>
    <w:p>
      <w:pPr>
        <w:adjustRightInd w:val="0"/>
        <w:snapToGrid w:val="0"/>
        <w:spacing w:line="286" w:lineRule="auto"/>
        <w:rPr>
          <w:rFonts w:hint="eastAsia"/>
          <w:sz w:val="18"/>
          <w:szCs w:val="18"/>
        </w:rPr>
      </w:pPr>
      <w:r>
        <w:rPr>
          <w:rFonts w:hint="eastAsia"/>
          <w:sz w:val="18"/>
          <w:szCs w:val="18"/>
        </w:rPr>
        <w:t xml:space="preserve">【估值日】 </w:t>
      </w:r>
    </w:p>
    <w:p>
      <w:pPr>
        <w:adjustRightInd w:val="0"/>
        <w:snapToGrid w:val="0"/>
        <w:spacing w:line="286" w:lineRule="auto"/>
        <w:rPr>
          <w:rFonts w:hint="eastAsia"/>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rFonts w:hint="eastAsia"/>
          <w:sz w:val="18"/>
          <w:szCs w:val="18"/>
        </w:rPr>
      </w:pPr>
      <w:r>
        <w:rPr>
          <w:rFonts w:hint="eastAsia"/>
          <w:sz w:val="18"/>
          <w:szCs w:val="18"/>
        </w:rPr>
        <w:t>【估值对象】</w:t>
      </w:r>
    </w:p>
    <w:p>
      <w:pPr>
        <w:adjustRightInd w:val="0"/>
        <w:snapToGrid w:val="0"/>
        <w:spacing w:line="286" w:lineRule="auto"/>
        <w:rPr>
          <w:rFonts w:hint="eastAsia"/>
          <w:sz w:val="18"/>
          <w:szCs w:val="18"/>
        </w:rPr>
      </w:pPr>
      <w:r>
        <w:rPr>
          <w:rFonts w:hint="eastAsia"/>
          <w:sz w:val="18"/>
          <w:szCs w:val="18"/>
        </w:rPr>
        <w:t xml:space="preserve"> 本理财产品所拥有的投资资产。</w:t>
      </w:r>
    </w:p>
    <w:p>
      <w:pPr>
        <w:adjustRightInd w:val="0"/>
        <w:snapToGrid w:val="0"/>
        <w:spacing w:line="286" w:lineRule="auto"/>
        <w:rPr>
          <w:rFonts w:hint="eastAsia"/>
          <w:sz w:val="18"/>
          <w:szCs w:val="18"/>
        </w:rPr>
      </w:pPr>
      <w:r>
        <w:rPr>
          <w:rFonts w:hint="eastAsia"/>
          <w:sz w:val="18"/>
          <w:szCs w:val="18"/>
        </w:rPr>
        <w:t xml:space="preserve">【估值目的】 </w:t>
      </w:r>
    </w:p>
    <w:p>
      <w:pPr>
        <w:adjustRightInd w:val="0"/>
        <w:snapToGrid w:val="0"/>
        <w:spacing w:line="286" w:lineRule="auto"/>
        <w:rPr>
          <w:rFonts w:hint="eastAsia"/>
          <w:sz w:val="18"/>
          <w:szCs w:val="18"/>
        </w:rPr>
      </w:pPr>
      <w:r>
        <w:rPr>
          <w:rFonts w:hint="eastAsia"/>
          <w:sz w:val="18"/>
          <w:szCs w:val="18"/>
        </w:rPr>
        <w:t xml:space="preserve">客观、准确反映理财产品的价值。 </w:t>
      </w:r>
    </w:p>
    <w:p>
      <w:pPr>
        <w:adjustRightInd w:val="0"/>
        <w:snapToGrid w:val="0"/>
        <w:spacing w:line="286" w:lineRule="auto"/>
        <w:rPr>
          <w:rFonts w:hint="eastAsia"/>
          <w:sz w:val="18"/>
          <w:szCs w:val="18"/>
        </w:rPr>
      </w:pPr>
      <w:r>
        <w:rPr>
          <w:rFonts w:hint="eastAsia"/>
          <w:sz w:val="18"/>
          <w:szCs w:val="18"/>
        </w:rPr>
        <w:t xml:space="preserve">【估值方法】 </w:t>
      </w:r>
    </w:p>
    <w:p>
      <w:pPr>
        <w:adjustRightInd w:val="0"/>
        <w:snapToGrid w:val="0"/>
        <w:spacing w:line="286" w:lineRule="auto"/>
        <w:rPr>
          <w:rFonts w:hint="eastAsia"/>
          <w:sz w:val="18"/>
          <w:szCs w:val="18"/>
        </w:rPr>
      </w:pPr>
      <w:r>
        <w:rPr>
          <w:rFonts w:hint="eastAsia"/>
          <w:sz w:val="18"/>
          <w:szCs w:val="18"/>
        </w:rPr>
        <w:t>1、货币市场工具：</w:t>
      </w:r>
    </w:p>
    <w:p>
      <w:pPr>
        <w:adjustRightInd w:val="0"/>
        <w:snapToGrid w:val="0"/>
        <w:spacing w:line="286" w:lineRule="auto"/>
        <w:rPr>
          <w:rFonts w:hint="eastAsia"/>
          <w:sz w:val="18"/>
          <w:szCs w:val="18"/>
        </w:rPr>
      </w:pPr>
      <w:r>
        <w:rPr>
          <w:rFonts w:hint="eastAsia"/>
          <w:sz w:val="18"/>
          <w:szCs w:val="18"/>
        </w:rPr>
        <w:t>（1）银行存款类资产及债券回购以本金列示、逐日计提利息。</w:t>
      </w:r>
    </w:p>
    <w:p>
      <w:pPr>
        <w:adjustRightInd w:val="0"/>
        <w:snapToGrid w:val="0"/>
        <w:spacing w:line="286" w:lineRule="auto"/>
        <w:rPr>
          <w:rFonts w:hint="eastAsia"/>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rPr>
      </w:pPr>
      <w:r>
        <w:rPr>
          <w:rFonts w:hint="eastAsia"/>
          <w:sz w:val="18"/>
          <w:szCs w:val="18"/>
        </w:rPr>
        <w:t>2、债券类资产：</w:t>
      </w:r>
    </w:p>
    <w:p>
      <w:pPr>
        <w:adjustRightInd w:val="0"/>
        <w:snapToGrid w:val="0"/>
        <w:spacing w:line="286" w:lineRule="auto"/>
        <w:rPr>
          <w:rFonts w:hint="eastAsia"/>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rFonts w:hint="eastAsia"/>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rFonts w:hint="eastAsia"/>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rFonts w:hint="eastAsia"/>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rFonts w:hint="eastAsia"/>
          <w:sz w:val="18"/>
          <w:szCs w:val="18"/>
        </w:rPr>
      </w:pPr>
      <w:r>
        <w:rPr>
          <w:rFonts w:hint="eastAsia"/>
          <w:sz w:val="18"/>
          <w:szCs w:val="18"/>
        </w:rPr>
        <w:t>4、基金、证券、保险等资产管理计划和信托计划等资产（不含货币市场基金）：</w:t>
      </w:r>
    </w:p>
    <w:p>
      <w:pPr>
        <w:adjustRightInd w:val="0"/>
        <w:snapToGrid w:val="0"/>
        <w:spacing w:line="286" w:lineRule="auto"/>
        <w:rPr>
          <w:rFonts w:hint="eastAsia"/>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rFonts w:hint="eastAsia"/>
          <w:sz w:val="18"/>
          <w:szCs w:val="18"/>
        </w:rPr>
      </w:pPr>
      <w:r>
        <w:rPr>
          <w:rFonts w:hint="eastAsia"/>
          <w:sz w:val="18"/>
          <w:szCs w:val="18"/>
        </w:rPr>
        <w:t>5、其他资产：</w:t>
      </w:r>
    </w:p>
    <w:p>
      <w:pPr>
        <w:adjustRightInd w:val="0"/>
        <w:snapToGrid w:val="0"/>
        <w:spacing w:line="286" w:lineRule="auto"/>
        <w:rPr>
          <w:rFonts w:hint="eastAsia"/>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rPr>
      </w:pPr>
      <w:r>
        <w:rPr>
          <w:rFonts w:hint="eastAsia"/>
          <w:sz w:val="18"/>
          <w:szCs w:val="18"/>
        </w:rPr>
        <w:t>6、其他事项</w:t>
      </w:r>
    </w:p>
    <w:p>
      <w:pPr>
        <w:adjustRightInd w:val="0"/>
        <w:snapToGrid w:val="0"/>
        <w:spacing w:line="286" w:lineRule="auto"/>
        <w:rPr>
          <w:rFonts w:hint="eastAsia"/>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rFonts w:hint="eastAsia"/>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rFonts w:hint="eastAsia"/>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rFonts w:hint="eastAsia"/>
          <w:sz w:val="18"/>
          <w:szCs w:val="18"/>
        </w:rPr>
      </w:pPr>
      <w:r>
        <w:rPr>
          <w:rFonts w:hint="eastAsia"/>
          <w:sz w:val="18"/>
          <w:szCs w:val="18"/>
        </w:rPr>
        <w:t>【暂停估值】</w:t>
      </w:r>
    </w:p>
    <w:p>
      <w:pPr>
        <w:adjustRightInd w:val="0"/>
        <w:snapToGrid w:val="0"/>
        <w:spacing w:line="286" w:lineRule="auto"/>
        <w:rPr>
          <w:rFonts w:hint="eastAsia"/>
          <w:sz w:val="18"/>
          <w:szCs w:val="18"/>
        </w:rPr>
      </w:pPr>
      <w:r>
        <w:rPr>
          <w:rFonts w:hint="eastAsia"/>
          <w:sz w:val="18"/>
          <w:szCs w:val="18"/>
        </w:rPr>
        <w:t>本理财计划可暂停估值的情形如下：</w:t>
      </w:r>
    </w:p>
    <w:p>
      <w:pPr>
        <w:adjustRightInd w:val="0"/>
        <w:snapToGrid w:val="0"/>
        <w:spacing w:line="286" w:lineRule="auto"/>
        <w:rPr>
          <w:rFonts w:hint="eastAsia"/>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rFonts w:hint="eastAsia"/>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rFonts w:hint="eastAsia"/>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rFonts w:hint="eastAsia"/>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rFonts w:hint="eastAsia"/>
          <w:sz w:val="18"/>
          <w:szCs w:val="18"/>
        </w:rPr>
      </w:pPr>
      <w:r>
        <w:rPr>
          <w:rFonts w:hint="eastAsia"/>
          <w:sz w:val="18"/>
          <w:szCs w:val="18"/>
        </w:rPr>
        <w:t>因上述情形暂停估值造成的损失，产品管理人和托管人不承担责任。</w:t>
      </w:r>
    </w:p>
    <w:p>
      <w:pPr>
        <w:adjustRightInd w:val="0"/>
        <w:snapToGrid w:val="0"/>
        <w:spacing w:line="286" w:lineRule="auto"/>
        <w:rPr>
          <w:rFonts w:hint="eastAsia"/>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《温州银行“金鹿理财-普惠月享”4号开放式净值型（第i期）银行理财计划开放认购（申购）申请书》。投资运作周期到期时，该周期内的资金收益情况根据所投资资产组合的实际运作情况确定。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rFonts w:hint="eastAsia"/>
          <w:sz w:val="18"/>
          <w:szCs w:val="18"/>
        </w:rPr>
      </w:pPr>
      <w:r>
        <w:rPr>
          <w:rFonts w:hint="eastAsia"/>
          <w:sz w:val="18"/>
          <w:szCs w:val="18"/>
        </w:rPr>
        <w:t>【理财产品单位净值】</w:t>
      </w:r>
    </w:p>
    <w:p>
      <w:pPr>
        <w:adjustRightInd w:val="0"/>
        <w:snapToGrid w:val="0"/>
        <w:spacing w:line="286" w:lineRule="auto"/>
        <w:rPr>
          <w:rFonts w:hint="eastAsia"/>
          <w:sz w:val="18"/>
          <w:szCs w:val="18"/>
        </w:rPr>
      </w:pPr>
      <w:r>
        <w:rPr>
          <w:rFonts w:hint="eastAsia"/>
          <w:sz w:val="18"/>
          <w:szCs w:val="18"/>
        </w:rPr>
        <w:t>理财产品单位净值=理财产品总净值÷理财产品总份额</w:t>
      </w:r>
    </w:p>
    <w:p>
      <w:pPr>
        <w:adjustRightInd w:val="0"/>
        <w:snapToGrid w:val="0"/>
        <w:spacing w:line="286" w:lineRule="auto"/>
        <w:rPr>
          <w:rFonts w:hint="eastAsia"/>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rFonts w:hint="eastAsia"/>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：本理财计划成立日为2021年5月20日，从成立日起，每</w:t>
      </w:r>
      <w:r>
        <w:rPr>
          <w:rFonts w:ascii="宋体" w:hAnsi="宋体"/>
          <w:sz w:val="18"/>
        </w:rPr>
        <w:t>【</w:t>
      </w:r>
      <w:r>
        <w:rPr>
          <w:rFonts w:hint="eastAsia" w:ascii="宋体" w:hAnsi="宋体"/>
          <w:color w:val="000000"/>
          <w:sz w:val="18"/>
        </w:rPr>
        <w:t>28</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w:t>
      </w:r>
      <w:r>
        <w:rPr>
          <w:rFonts w:ascii="宋体" w:hAnsi="宋体"/>
          <w:sz w:val="18"/>
        </w:rPr>
        <w:t>】天</w:t>
      </w:r>
      <w:r>
        <w:rPr>
          <w:rFonts w:hint="eastAsia"/>
          <w:sz w:val="18"/>
          <w:szCs w:val="18"/>
        </w:rPr>
        <w:t>。</w:t>
      </w:r>
    </w:p>
    <w:p>
      <w:pPr>
        <w:adjustRightInd w:val="0"/>
        <w:snapToGrid w:val="0"/>
        <w:spacing w:line="286" w:lineRule="auto"/>
        <w:rPr>
          <w:rFonts w:hint="eastAsia"/>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rFonts w:hint="eastAsia"/>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rFonts w:hint="eastAsia"/>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rFonts w:hint="eastAsia"/>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rFonts w:hint="eastAsia"/>
          <w:sz w:val="18"/>
          <w:szCs w:val="18"/>
        </w:rPr>
      </w:pPr>
      <w:r>
        <w:rPr>
          <w:rFonts w:hint="eastAsia"/>
          <w:sz w:val="18"/>
          <w:szCs w:val="18"/>
        </w:rPr>
        <w:t>（10）巨额赎回：</w:t>
      </w:r>
    </w:p>
    <w:p>
      <w:pPr>
        <w:adjustRightInd w:val="0"/>
        <w:snapToGrid w:val="0"/>
        <w:spacing w:line="286" w:lineRule="auto"/>
        <w:rPr>
          <w:rFonts w:hint="eastAsia"/>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rFonts w:hint="eastAsia"/>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rFonts w:hint="eastAsia"/>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rFonts w:hint="eastAsia"/>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rFonts w:hint="eastAsia"/>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rFonts w:hint="eastAsia"/>
          <w:sz w:val="18"/>
          <w:szCs w:val="18"/>
        </w:rPr>
      </w:pPr>
      <w:r>
        <w:rPr>
          <w:rFonts w:hint="eastAsia"/>
          <w:sz w:val="18"/>
          <w:szCs w:val="18"/>
        </w:rPr>
        <w:t>摆动定价机制</w:t>
      </w:r>
    </w:p>
    <w:p>
      <w:pPr>
        <w:adjustRightInd w:val="0"/>
        <w:snapToGrid w:val="0"/>
        <w:spacing w:line="286" w:lineRule="auto"/>
        <w:rPr>
          <w:rFonts w:hint="eastAsia"/>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rFonts w:hint="eastAsia"/>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rFonts w:hint="eastAsia"/>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rFonts w:hint="eastAsia"/>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rFonts w:hint="eastAsia"/>
          <w:sz w:val="18"/>
          <w:szCs w:val="18"/>
        </w:rPr>
      </w:pPr>
      <w:r>
        <w:rPr>
          <w:rFonts w:hint="eastAsia"/>
          <w:sz w:val="18"/>
          <w:szCs w:val="18"/>
        </w:rPr>
        <w:t>3）当接受认购申请可能会有损于理财产品存量投资者利益时。</w:t>
      </w:r>
    </w:p>
    <w:p>
      <w:pPr>
        <w:adjustRightInd w:val="0"/>
        <w:snapToGrid w:val="0"/>
        <w:spacing w:line="286" w:lineRule="auto"/>
        <w:rPr>
          <w:rFonts w:hint="eastAsia"/>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rFonts w:hint="eastAsia"/>
          <w:sz w:val="18"/>
          <w:szCs w:val="18"/>
        </w:rPr>
      </w:pPr>
      <w:r>
        <w:rPr>
          <w:rFonts w:hint="eastAsia"/>
          <w:sz w:val="18"/>
          <w:szCs w:val="18"/>
        </w:rPr>
        <w:t>5）发生产品说明书约定的暂停估值的情形时。</w:t>
      </w:r>
    </w:p>
    <w:p>
      <w:pPr>
        <w:adjustRightInd w:val="0"/>
        <w:snapToGrid w:val="0"/>
        <w:spacing w:line="286" w:lineRule="auto"/>
        <w:rPr>
          <w:rFonts w:hint="eastAsia"/>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rFonts w:hint="eastAsia"/>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rFonts w:hint="eastAsia"/>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rFonts w:hint="eastAsia"/>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rFonts w:hint="eastAsia"/>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rFonts w:hint="eastAsia"/>
          <w:sz w:val="18"/>
          <w:szCs w:val="18"/>
        </w:rPr>
      </w:pPr>
      <w:r>
        <w:rPr>
          <w:rFonts w:hint="eastAsia"/>
          <w:sz w:val="18"/>
          <w:szCs w:val="18"/>
        </w:rPr>
        <w:t>【终止（包括到期终止、提前终止、延期终止）】</w:t>
      </w:r>
    </w:p>
    <w:p>
      <w:pPr>
        <w:adjustRightInd w:val="0"/>
        <w:snapToGrid w:val="0"/>
        <w:spacing w:line="286" w:lineRule="auto"/>
        <w:rPr>
          <w:rFonts w:hint="eastAsia"/>
          <w:bCs/>
          <w:sz w:val="18"/>
          <w:szCs w:val="18"/>
        </w:rPr>
      </w:pPr>
      <w:r>
        <w:rPr>
          <w:rFonts w:hint="eastAsia"/>
          <w:sz w:val="18"/>
          <w:szCs w:val="18"/>
        </w:rPr>
        <w:t>本产品预计到期终止日为</w:t>
      </w:r>
      <w:r>
        <w:rPr>
          <w:rFonts w:hint="eastAsia"/>
          <w:color w:val="000000"/>
          <w:sz w:val="18"/>
        </w:rPr>
        <w:t>2031年5月20日，</w:t>
      </w:r>
      <w:r>
        <w:rPr>
          <w:rFonts w:hint="eastAsia"/>
          <w:bCs/>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rFonts w:hint="eastAsia"/>
          <w:sz w:val="18"/>
          <w:szCs w:val="18"/>
        </w:rPr>
      </w:pPr>
      <w:r>
        <w:rPr>
          <w:rFonts w:hint="eastAsia"/>
          <w:sz w:val="18"/>
          <w:szCs w:val="18"/>
        </w:rPr>
        <w:t>【相关费用】</w:t>
      </w:r>
    </w:p>
    <w:p>
      <w:pPr>
        <w:adjustRightInd w:val="0"/>
        <w:snapToGrid w:val="0"/>
        <w:spacing w:line="286" w:lineRule="auto"/>
        <w:rPr>
          <w:rFonts w:hint="eastAsia"/>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rFonts w:hint="eastAsia"/>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rFonts w:hint="eastAsia"/>
          <w:sz w:val="18"/>
          <w:szCs w:val="18"/>
        </w:rPr>
      </w:pPr>
      <w:r>
        <w:rPr>
          <w:rFonts w:hint="eastAsia"/>
          <w:sz w:val="18"/>
          <w:szCs w:val="18"/>
        </w:rPr>
        <w:t>（2）理财管理人的浮动管理费</w:t>
      </w:r>
    </w:p>
    <w:p>
      <w:pPr>
        <w:adjustRightInd w:val="0"/>
        <w:snapToGrid w:val="0"/>
        <w:spacing w:line="286" w:lineRule="auto"/>
        <w:rPr>
          <w:rFonts w:hint="eastAsia"/>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rFonts w:hint="eastAsia"/>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rFonts w:hint="eastAsia"/>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rFonts w:hint="eastAsia"/>
          <w:sz w:val="18"/>
          <w:szCs w:val="18"/>
        </w:rPr>
      </w:pPr>
      <w:r>
        <w:rPr>
          <w:rFonts w:hint="eastAsia"/>
          <w:sz w:val="18"/>
          <w:szCs w:val="18"/>
        </w:rPr>
        <w:t>其中：</w:t>
      </w:r>
    </w:p>
    <w:p>
      <w:pPr>
        <w:adjustRightInd w:val="0"/>
        <w:snapToGrid w:val="0"/>
        <w:spacing w:line="286" w:lineRule="auto"/>
        <w:rPr>
          <w:rFonts w:hint="eastAsia"/>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rFonts w:hint="eastAsia"/>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rFonts w:hint="eastAsia"/>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rFonts w:hint="eastAsia"/>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rFonts w:hint="eastAsia"/>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rFonts w:hint="eastAsia"/>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rFonts w:hint="eastAsia"/>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rFonts w:hint="eastAsia"/>
          <w:sz w:val="18"/>
          <w:szCs w:val="18"/>
        </w:rPr>
      </w:pPr>
      <w:r>
        <w:rPr>
          <w:rFonts w:hint="eastAsia"/>
          <w:sz w:val="18"/>
          <w:szCs w:val="18"/>
        </w:rPr>
        <w:t>注：计算过程不保留位数，最终浮动管理费保留2位小数。</w:t>
      </w:r>
    </w:p>
    <w:p>
      <w:pPr>
        <w:adjustRightInd w:val="0"/>
        <w:snapToGrid w:val="0"/>
        <w:spacing w:line="286" w:lineRule="auto"/>
        <w:rPr>
          <w:rFonts w:hint="eastAsia"/>
          <w:sz w:val="18"/>
          <w:szCs w:val="18"/>
        </w:rPr>
      </w:pPr>
      <w:r>
        <w:rPr>
          <w:rFonts w:hint="eastAsia"/>
          <w:sz w:val="18"/>
          <w:szCs w:val="18"/>
        </w:rPr>
        <w:t>（3）理财托管人的托管费</w:t>
      </w:r>
    </w:p>
    <w:p>
      <w:pPr>
        <w:adjustRightInd w:val="0"/>
        <w:snapToGrid w:val="0"/>
        <w:spacing w:line="286" w:lineRule="auto"/>
        <w:rPr>
          <w:rFonts w:hint="eastAsia"/>
          <w:sz w:val="18"/>
          <w:szCs w:val="18"/>
        </w:rPr>
      </w:pPr>
      <w:r>
        <w:rPr>
          <w:rFonts w:hint="eastAsia"/>
          <w:sz w:val="18"/>
          <w:szCs w:val="18"/>
        </w:rPr>
        <w:t>理财计划财产的年托管费率为0.005%，计算方法如下：</w:t>
      </w:r>
    </w:p>
    <w:p>
      <w:pPr>
        <w:adjustRightInd w:val="0"/>
        <w:snapToGrid w:val="0"/>
        <w:spacing w:line="286" w:lineRule="auto"/>
        <w:rPr>
          <w:rFonts w:hint="eastAsia"/>
          <w:sz w:val="18"/>
          <w:szCs w:val="18"/>
        </w:rPr>
      </w:pPr>
      <w:r>
        <w:rPr>
          <w:rFonts w:hint="eastAsia"/>
          <w:sz w:val="18"/>
          <w:szCs w:val="18"/>
        </w:rPr>
        <w:t>H＝E×0.005％÷365</w:t>
      </w:r>
    </w:p>
    <w:p>
      <w:pPr>
        <w:adjustRightInd w:val="0"/>
        <w:snapToGrid w:val="0"/>
        <w:spacing w:line="286" w:lineRule="auto"/>
        <w:rPr>
          <w:rFonts w:hint="eastAsia"/>
          <w:sz w:val="18"/>
          <w:szCs w:val="18"/>
        </w:rPr>
      </w:pPr>
      <w:r>
        <w:rPr>
          <w:rFonts w:hint="eastAsia"/>
          <w:sz w:val="18"/>
          <w:szCs w:val="18"/>
        </w:rPr>
        <w:t>H为每日应计提的托管费</w:t>
      </w:r>
    </w:p>
    <w:p>
      <w:pPr>
        <w:adjustRightInd w:val="0"/>
        <w:snapToGrid w:val="0"/>
        <w:spacing w:line="286" w:lineRule="auto"/>
        <w:rPr>
          <w:rFonts w:hint="eastAsia"/>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rFonts w:hint="eastAsia"/>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rFonts w:hint="eastAsia"/>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rFonts w:hint="eastAsia"/>
          <w:sz w:val="18"/>
          <w:szCs w:val="18"/>
        </w:rPr>
      </w:pPr>
      <w:r>
        <w:rPr>
          <w:rFonts w:hint="eastAsia"/>
          <w:sz w:val="18"/>
          <w:szCs w:val="18"/>
        </w:rPr>
        <w:t>计算公式:</w:t>
      </w:r>
    </w:p>
    <w:p>
      <w:pPr>
        <w:adjustRightInd w:val="0"/>
        <w:snapToGrid w:val="0"/>
        <w:spacing w:line="286" w:lineRule="auto"/>
        <w:rPr>
          <w:rFonts w:hint="eastAsia"/>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rFonts w:hint="eastAsia"/>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投资者理财计划到期日持有理财计划份额×理财计划到期日理财计划单位净值</w:t>
      </w:r>
      <w:r>
        <w:rPr>
          <w:sz w:val="18"/>
          <w:szCs w:val="18"/>
        </w:rPr>
        <w:t>-税费（如有）</w:t>
      </w: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理财计划到期日单位净值-认购（申购）确认日前一自然日单位净值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hint="eastAsia"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rFonts w:hint="eastAsia"/>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hint="eastAsia"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ascii="宋体" w:hAnsi="宋体"/>
          <w:sz w:val="18"/>
          <w:szCs w:val="18"/>
        </w:rPr>
        <w:t>7、早偿风险：如温州银行在特定情</w:t>
      </w:r>
      <w:r>
        <w:rPr>
          <w:rFonts w:hint="eastAsia"/>
          <w:sz w:val="18"/>
          <w:szCs w:val="18"/>
        </w:rPr>
        <w:t>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6"/>
        <w:adjustRightInd w:val="0"/>
        <w:snapToGrid w:val="0"/>
        <w:spacing w:line="286" w:lineRule="auto"/>
        <w:ind w:firstLine="0"/>
        <w:rPr>
          <w:rFonts w:hint="eastAsia"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6"/>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rFonts w:hint="eastAsia"/>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rFonts w:hint="eastAsia"/>
          <w:b/>
          <w:sz w:val="18"/>
          <w:szCs w:val="18"/>
        </w:rPr>
      </w:pPr>
      <w:r>
        <w:rPr>
          <w:rFonts w:hint="eastAsia"/>
          <w:b/>
          <w:sz w:val="18"/>
          <w:szCs w:val="18"/>
        </w:rPr>
        <w:t>信息公告</w:t>
      </w:r>
    </w:p>
    <w:p>
      <w:pPr>
        <w:adjustRightInd w:val="0"/>
        <w:snapToGrid w:val="0"/>
        <w:spacing w:line="286" w:lineRule="auto"/>
        <w:rPr>
          <w:rFonts w:hint="eastAsia"/>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rFonts w:hint="eastAsia"/>
          <w:sz w:val="18"/>
          <w:szCs w:val="18"/>
        </w:rPr>
      </w:pPr>
      <w:r>
        <w:rPr>
          <w:rFonts w:hint="eastAsia"/>
          <w:sz w:val="18"/>
          <w:szCs w:val="18"/>
        </w:rPr>
        <w:t>2、定期公告：</w:t>
      </w:r>
    </w:p>
    <w:p>
      <w:pPr>
        <w:adjustRightInd w:val="0"/>
        <w:snapToGrid w:val="0"/>
        <w:spacing w:line="286" w:lineRule="auto"/>
        <w:rPr>
          <w:rFonts w:hint="eastAsia"/>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份额累计净值、认购（申购）价格和赎回价格。</w:t>
      </w:r>
    </w:p>
    <w:p>
      <w:pPr>
        <w:adjustRightInd w:val="0"/>
        <w:snapToGrid w:val="0"/>
        <w:spacing w:line="286" w:lineRule="auto"/>
        <w:rPr>
          <w:rFonts w:hint="eastAsia"/>
          <w:sz w:val="18"/>
          <w:szCs w:val="18"/>
        </w:rPr>
      </w:pPr>
      <w:r>
        <w:rPr>
          <w:rFonts w:hint="eastAsia"/>
          <w:sz w:val="18"/>
          <w:szCs w:val="18"/>
        </w:rPr>
        <w:t>3、临时性公告：</w:t>
      </w:r>
    </w:p>
    <w:p>
      <w:pPr>
        <w:adjustRightInd w:val="0"/>
        <w:snapToGrid w:val="0"/>
        <w:spacing w:line="286" w:lineRule="auto"/>
        <w:rPr>
          <w:rFonts w:hint="eastAsia"/>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rFonts w:hint="eastAsia"/>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rFonts w:hint="eastAsia"/>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rFonts w:hint="eastAsia"/>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rFonts w:hint="eastAsia"/>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rFonts w:hint="eastAsia"/>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7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办理，机构投资者请带营业执照原件及复印件（加盖公章）、法人代表授权书、机构公章、法人代表身份证原件及复印件（加盖公章）、被授权人身份证原件及复印件（加盖公章）、预留银行印鉴等到温州银行营业网点办理；或个人投资者/机构投资者登录温州银行网银专业版、手机银行等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rFonts w:hint="eastAsia"/>
          <w:sz w:val="18"/>
          <w:szCs w:val="18"/>
        </w:rPr>
      </w:pPr>
      <w:r>
        <w:rPr>
          <w:sz w:val="18"/>
          <w:szCs w:val="18"/>
        </w:rPr>
        <w:t>3</w:t>
      </w:r>
      <w:r>
        <w:rPr>
          <w:rFonts w:hint="eastAsia"/>
          <w:sz w:val="18"/>
          <w:szCs w:val="18"/>
        </w:rPr>
        <w:t>、产品发行规模有限，售完即止。</w:t>
      </w:r>
    </w:p>
    <w:p>
      <w:pPr>
        <w:adjustRightInd w:val="0"/>
        <w:snapToGrid w:val="0"/>
        <w:spacing w:line="286" w:lineRule="auto"/>
        <w:rPr>
          <w:rFonts w:hint="eastAsia"/>
          <w:b/>
          <w:sz w:val="18"/>
          <w:szCs w:val="18"/>
        </w:rPr>
      </w:pPr>
      <w:r>
        <w:rPr>
          <w:rFonts w:hint="eastAsia"/>
          <w:b/>
          <w:sz w:val="18"/>
          <w:szCs w:val="18"/>
        </w:rPr>
        <w:t>法律适用与争议解决</w:t>
      </w:r>
    </w:p>
    <w:p>
      <w:pPr>
        <w:adjustRightInd w:val="0"/>
        <w:snapToGrid w:val="0"/>
        <w:spacing w:line="286" w:lineRule="auto"/>
        <w:rPr>
          <w:rFonts w:hint="eastAsia"/>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rFonts w:hint="eastAsia"/>
          <w:sz w:val="18"/>
          <w:szCs w:val="18"/>
        </w:rPr>
      </w:pPr>
      <w:r>
        <w:rPr>
          <w:rFonts w:hint="eastAsia"/>
          <w:sz w:val="18"/>
          <w:szCs w:val="18"/>
        </w:rPr>
        <w:t>2、争议解决</w:t>
      </w:r>
    </w:p>
    <w:p>
      <w:pPr>
        <w:adjustRightInd w:val="0"/>
        <w:snapToGrid w:val="0"/>
        <w:spacing w:line="286" w:lineRule="auto"/>
        <w:rPr>
          <w:rFonts w:hint="eastAsia"/>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普惠月享”4号开放式净值型银行理财计划风险揭示书》、《温州银行“金鹿理财”银行理财计划合约》、《温州银行“金鹿理财-普惠月享”4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hint="eastAsia" w:ascii="宋体" w:hAnsi="宋体"/>
          <w:szCs w:val="21"/>
        </w:rPr>
      </w:pPr>
      <w:r>
        <w:rPr>
          <w:rFonts w:hint="eastAsia" w:ascii="宋体" w:hAnsi="宋体"/>
          <w:szCs w:val="21"/>
        </w:rPr>
        <w:t xml:space="preserve">         投资者签章：                                 日期：</w:t>
      </w:r>
    </w:p>
    <w:p>
      <w:pPr>
        <w:rPr>
          <w:rFonts w:hint="eastAsia"/>
          <w:szCs w:val="30"/>
        </w:rPr>
      </w:pPr>
    </w:p>
    <w:p>
      <w:pPr>
        <w:pStyle w:val="3"/>
        <w:rPr>
          <w:rFonts w:hint="eastAsia" w:hAnsi="宋体" w:cs="宋体"/>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8</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3829B1D"/>
    <w:multiLevelType w:val="singleLevel"/>
    <w:tmpl w:val="03829B1D"/>
    <w:lvl w:ilvl="0" w:tentative="0">
      <w:start w:val="4"/>
      <w:numFmt w:val="decimal"/>
      <w:suff w:val="nothing"/>
      <w:lvlText w:val="%1、"/>
      <w:lvlJc w:val="left"/>
    </w:lvl>
  </w:abstractNum>
  <w:abstractNum w:abstractNumId="1">
    <w:nsid w:val="0DCAC7AF"/>
    <w:multiLevelType w:val="singleLevel"/>
    <w:tmpl w:val="0DCAC7AF"/>
    <w:lvl w:ilvl="0" w:tentative="0">
      <w:start w:val="1"/>
      <w:numFmt w:val="decimal"/>
      <w:suff w:val="nothing"/>
      <w:lvlText w:val="%1）"/>
      <w:lvlJc w:val="left"/>
    </w:lvl>
  </w:abstractNum>
  <w:abstractNum w:abstractNumId="2">
    <w:nsid w:val="63C75758"/>
    <w:multiLevelType w:val="singleLevel"/>
    <w:tmpl w:val="63C75758"/>
    <w:lvl w:ilvl="0" w:tentative="0">
      <w:start w:val="11"/>
      <w:numFmt w:val="decimal"/>
      <w:suff w:val="nothing"/>
      <w:lvlText w:val="（%1）"/>
      <w:lvlJc w:val="left"/>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UoyKH2a5pfusCr5l2nhp+lGOqW4=" w:salt="oYKY8zsm/pSf7S2/4CCgNA=="/>
  <w:defaultTabStop w:val="420"/>
  <w:hyphenationZone w:val="36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7B7B"/>
    <w:rsid w:val="000000F1"/>
    <w:rsid w:val="00057DEC"/>
    <w:rsid w:val="00072FB0"/>
    <w:rsid w:val="000C42F2"/>
    <w:rsid w:val="000F75FC"/>
    <w:rsid w:val="0011069E"/>
    <w:rsid w:val="00123BC7"/>
    <w:rsid w:val="00267600"/>
    <w:rsid w:val="002D1363"/>
    <w:rsid w:val="0033085F"/>
    <w:rsid w:val="0035559F"/>
    <w:rsid w:val="003C4673"/>
    <w:rsid w:val="003D318B"/>
    <w:rsid w:val="00457797"/>
    <w:rsid w:val="004B0637"/>
    <w:rsid w:val="004C31F5"/>
    <w:rsid w:val="00627DB7"/>
    <w:rsid w:val="006351FE"/>
    <w:rsid w:val="0066659C"/>
    <w:rsid w:val="00673530"/>
    <w:rsid w:val="00777EEF"/>
    <w:rsid w:val="00852001"/>
    <w:rsid w:val="00936E45"/>
    <w:rsid w:val="009F70FC"/>
    <w:rsid w:val="00A06D60"/>
    <w:rsid w:val="00A20A00"/>
    <w:rsid w:val="00A253A8"/>
    <w:rsid w:val="00A33517"/>
    <w:rsid w:val="00A46AFC"/>
    <w:rsid w:val="00A56BAA"/>
    <w:rsid w:val="00B05D42"/>
    <w:rsid w:val="00BC3BFF"/>
    <w:rsid w:val="00BF4D76"/>
    <w:rsid w:val="00C36DF3"/>
    <w:rsid w:val="00C653DD"/>
    <w:rsid w:val="00C67563"/>
    <w:rsid w:val="00C926AC"/>
    <w:rsid w:val="00CA4A86"/>
    <w:rsid w:val="00CC4C8E"/>
    <w:rsid w:val="00CE4830"/>
    <w:rsid w:val="00D57B7B"/>
    <w:rsid w:val="00E061C3"/>
    <w:rsid w:val="00EE6835"/>
    <w:rsid w:val="00EF688E"/>
    <w:rsid w:val="00F16861"/>
    <w:rsid w:val="00F27B42"/>
    <w:rsid w:val="00F33BD6"/>
    <w:rsid w:val="00FF044A"/>
    <w:rsid w:val="03C0209D"/>
    <w:rsid w:val="05025E75"/>
    <w:rsid w:val="09D23499"/>
    <w:rsid w:val="0B0417FA"/>
    <w:rsid w:val="0B0F2D67"/>
    <w:rsid w:val="11B87CD0"/>
    <w:rsid w:val="12B7519C"/>
    <w:rsid w:val="18772FCC"/>
    <w:rsid w:val="187802C2"/>
    <w:rsid w:val="1896421B"/>
    <w:rsid w:val="19052EAD"/>
    <w:rsid w:val="1AC872C1"/>
    <w:rsid w:val="1BF4648C"/>
    <w:rsid w:val="1F833EA5"/>
    <w:rsid w:val="202D51F7"/>
    <w:rsid w:val="212E1DF3"/>
    <w:rsid w:val="23E313C4"/>
    <w:rsid w:val="23E83A25"/>
    <w:rsid w:val="299B7AA8"/>
    <w:rsid w:val="2BA97CAA"/>
    <w:rsid w:val="2D0E5B68"/>
    <w:rsid w:val="3137458B"/>
    <w:rsid w:val="35D2474F"/>
    <w:rsid w:val="36D65DF6"/>
    <w:rsid w:val="3DCD0356"/>
    <w:rsid w:val="3DE67AF3"/>
    <w:rsid w:val="3E1D64F1"/>
    <w:rsid w:val="443479B1"/>
    <w:rsid w:val="458B49FF"/>
    <w:rsid w:val="45C070A6"/>
    <w:rsid w:val="46F17C65"/>
    <w:rsid w:val="484C5B1A"/>
    <w:rsid w:val="48A849E0"/>
    <w:rsid w:val="491C4520"/>
    <w:rsid w:val="4B771C09"/>
    <w:rsid w:val="4BF95C84"/>
    <w:rsid w:val="508C311D"/>
    <w:rsid w:val="54161E94"/>
    <w:rsid w:val="54565FE6"/>
    <w:rsid w:val="57342A46"/>
    <w:rsid w:val="58E666C9"/>
    <w:rsid w:val="591C475B"/>
    <w:rsid w:val="5EFE2025"/>
    <w:rsid w:val="612F605E"/>
    <w:rsid w:val="617D113F"/>
    <w:rsid w:val="637F3959"/>
    <w:rsid w:val="672C3A8F"/>
    <w:rsid w:val="69067839"/>
    <w:rsid w:val="6A043AAB"/>
    <w:rsid w:val="6D482330"/>
    <w:rsid w:val="6F5F24DC"/>
    <w:rsid w:val="71A27B41"/>
    <w:rsid w:val="732C6CB8"/>
    <w:rsid w:val="746E15DF"/>
    <w:rsid w:val="762B48EB"/>
    <w:rsid w:val="77303E4B"/>
    <w:rsid w:val="77417B54"/>
    <w:rsid w:val="77974C69"/>
    <w:rsid w:val="77B8632A"/>
    <w:rsid w:val="7947704C"/>
    <w:rsid w:val="7ABE4794"/>
    <w:rsid w:val="7ADC5262"/>
    <w:rsid w:val="7B517115"/>
    <w:rsid w:val="7C245B74"/>
    <w:rsid w:val="7CE422D7"/>
    <w:rsid w:val="7EDF28B4"/>
    <w:rsid w:val="7F0972B7"/>
    <w:rsid w:val="7F7BBC76"/>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semiHidden="0"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semiHidden="0"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unhideWhenUsed/>
    <w:uiPriority w:val="1"/>
  </w:style>
  <w:style w:type="table" w:default="1" w:styleId="8">
    <w:name w:val="Normal Table"/>
    <w:unhideWhenUsed/>
    <w:qFormat/>
    <w:uiPriority w:val="99"/>
    <w:tblPr>
      <w:tblCellMar>
        <w:top w:w="0" w:type="dxa"/>
        <w:left w:w="108" w:type="dxa"/>
        <w:bottom w:w="0" w:type="dxa"/>
        <w:right w:w="108" w:type="dxa"/>
      </w:tblCellMar>
    </w:tblPr>
  </w:style>
  <w:style w:type="paragraph" w:styleId="2">
    <w:name w:val="annotation text"/>
    <w:basedOn w:val="1"/>
    <w:unhideWhenUsed/>
    <w:uiPriority w:val="99"/>
    <w:pPr>
      <w:jc w:val="left"/>
    </w:pPr>
  </w:style>
  <w:style w:type="paragraph" w:styleId="3">
    <w:name w:val="Plain Text"/>
    <w:basedOn w:val="1"/>
    <w:link w:val="10"/>
    <w:unhideWhenUsed/>
    <w:uiPriority w:val="99"/>
    <w:rPr>
      <w:rFonts w:ascii="宋体" w:hAnsi="Courier New" w:eastAsia="宋体" w:cs="Courier New"/>
      <w:szCs w:val="21"/>
    </w:rPr>
  </w:style>
  <w:style w:type="paragraph" w:styleId="4">
    <w:name w:val="Balloon Text"/>
    <w:basedOn w:val="1"/>
    <w:link w:val="11"/>
    <w:unhideWhenUsed/>
    <w:uiPriority w:val="99"/>
    <w:rPr>
      <w:sz w:val="18"/>
      <w:szCs w:val="18"/>
    </w:rPr>
  </w:style>
  <w:style w:type="paragraph" w:styleId="5">
    <w:name w:val="footer"/>
    <w:basedOn w:val="1"/>
    <w:link w:val="12"/>
    <w:unhideWhenUsed/>
    <w:qFormat/>
    <w:uiPriority w:val="99"/>
    <w:pPr>
      <w:tabs>
        <w:tab w:val="center" w:pos="4153"/>
        <w:tab w:val="right" w:pos="8306"/>
      </w:tabs>
      <w:snapToGrid w:val="0"/>
      <w:jc w:val="left"/>
    </w:pPr>
    <w:rPr>
      <w:rFonts w:ascii="Calibri" w:hAnsi="Calibri"/>
      <w:kern w:val="0"/>
      <w:sz w:val="18"/>
      <w:szCs w:val="18"/>
    </w:rPr>
  </w:style>
  <w:style w:type="paragraph" w:styleId="6">
    <w:name w:val="header"/>
    <w:basedOn w:val="1"/>
    <w:link w:val="13"/>
    <w:unhideWhenUsed/>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uiPriority w:val="99"/>
    <w:rPr>
      <w:sz w:val="24"/>
    </w:rPr>
  </w:style>
  <w:style w:type="character" w:customStyle="1" w:styleId="10">
    <w:name w:val="纯文本 字符"/>
    <w:link w:val="3"/>
    <w:qFormat/>
    <w:uiPriority w:val="99"/>
    <w:rPr>
      <w:rFonts w:ascii="宋体" w:hAnsi="Courier New" w:eastAsia="宋体" w:cs="Courier New"/>
      <w:szCs w:val="21"/>
    </w:rPr>
  </w:style>
  <w:style w:type="character" w:customStyle="1" w:styleId="11">
    <w:name w:val="批注框文本 字符"/>
    <w:link w:val="4"/>
    <w:semiHidden/>
    <w:uiPriority w:val="99"/>
    <w:rPr>
      <w:rFonts w:ascii="Times New Roman" w:hAnsi="Times New Roman"/>
      <w:kern w:val="2"/>
      <w:sz w:val="18"/>
      <w:szCs w:val="18"/>
    </w:rPr>
  </w:style>
  <w:style w:type="character" w:customStyle="1" w:styleId="12">
    <w:name w:val="页脚 字符"/>
    <w:link w:val="5"/>
    <w:semiHidden/>
    <w:qFormat/>
    <w:uiPriority w:val="99"/>
    <w:rPr>
      <w:rFonts w:ascii="Times New Roman" w:hAnsi="Times New Roman" w:eastAsia="宋体" w:cs="Times New Roman"/>
      <w:sz w:val="18"/>
      <w:szCs w:val="18"/>
    </w:rPr>
  </w:style>
  <w:style w:type="character" w:customStyle="1" w:styleId="13">
    <w:name w:val="页眉 字符"/>
    <w:link w:val="6"/>
    <w:qFormat/>
    <w:uiPriority w:val="99"/>
    <w:rPr>
      <w:rFonts w:ascii="Times New Roman" w:hAnsi="Times New Roman"/>
      <w:kern w:val="2"/>
      <w:sz w:val="18"/>
      <w:szCs w:val="18"/>
    </w:rPr>
  </w:style>
  <w:style w:type="character" w:customStyle="1" w:styleId="14">
    <w:name w:val="页脚 Char"/>
    <w:qFormat/>
    <w:uiPriority w:val="99"/>
    <w:rPr>
      <w:sz w:val="18"/>
      <w:szCs w:val="18"/>
    </w:rPr>
  </w:style>
  <w:style w:type="paragraph" w:customStyle="1" w:styleId="15">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styleId="16">
    <w:name w:val="List Paragraph"/>
    <w:basedOn w:val="1"/>
    <w:qFormat/>
    <w:uiPriority w:val="34"/>
    <w:pPr>
      <w:widowControl/>
      <w:ind w:firstLine="420"/>
    </w:pPr>
    <w:rPr>
      <w:rFonts w:ascii="Calibri" w:hAnsi="Calibri" w:cs="宋体"/>
      <w:kern w:val="0"/>
      <w:szCs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12</Pages>
  <Words>2815</Words>
  <Characters>16048</Characters>
  <Lines>133</Lines>
  <Paragraphs>37</Paragraphs>
  <TotalTime>1</TotalTime>
  <ScaleCrop>false</ScaleCrop>
  <LinksUpToDate>false</LinksUpToDate>
  <CharactersWithSpaces>18826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2022-01-10T15:21:00Z</dcterms:created>
  <dc:creator>陈浩</dc:creator>
  <cp:lastModifiedBy>应心茹</cp:lastModifiedBy>
  <dcterms:modified xsi:type="dcterms:W3CDTF">2024-01-15T01:53:13Z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8678247B4B51A5FAF22395655FB6247B_43</vt:lpwstr>
  </property>
</Properties>
</file>