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宋体" w:hAnsi="宋体"/>
          <w:sz w:val="30"/>
          <w:szCs w:val="30"/>
        </w:rPr>
      </w:pPr>
      <w:bookmarkStart w:id="0" w:name="_GoBack"/>
      <w:bookmarkEnd w:id="0"/>
      <w:r>
        <w:rPr>
          <w:rFonts w:hint="eastAsia" w:ascii="黑体" w:eastAsia="黑体"/>
          <w:sz w:val="30"/>
          <w:szCs w:val="30"/>
        </w:rPr>
        <w:t>温州银行“金鹿理财-普惠季享”</w:t>
      </w:r>
      <w:r>
        <w:rPr>
          <w:rFonts w:ascii="黑体" w:eastAsia="黑体"/>
          <w:color w:val="000000"/>
          <w:sz w:val="30"/>
          <w:szCs w:val="30"/>
          <w:u w:val="single"/>
        </w:rPr>
        <w:t>24001</w:t>
      </w:r>
      <w:r>
        <w:rPr>
          <w:rFonts w:hint="eastAsia" w:ascii="黑体" w:eastAsia="黑体"/>
          <w:sz w:val="30"/>
          <w:szCs w:val="30"/>
        </w:rPr>
        <w:t>号（共同富裕特别款）银行理财计划风险揭示书</w:t>
      </w:r>
    </w:p>
    <w:p>
      <w:pPr>
        <w:adjustRightInd w:val="0"/>
        <w:snapToGrid w:val="0"/>
        <w:spacing w:before="240" w:line="360" w:lineRule="auto"/>
        <w:rPr>
          <w:rFonts w:ascii="宋体" w:hAnsi="宋体"/>
          <w:b/>
          <w:szCs w:val="21"/>
        </w:rPr>
      </w:pPr>
      <w:r>
        <w:rPr>
          <w:rFonts w:hint="eastAsia" w:ascii="宋体" w:hAnsi="宋体"/>
          <w:b/>
          <w:szCs w:val="21"/>
        </w:rPr>
        <w:t>尊敬的客户：</w:t>
      </w:r>
    </w:p>
    <w:p>
      <w:pPr>
        <w:adjustRightInd w:val="0"/>
        <w:snapToGrid w:val="0"/>
        <w:spacing w:line="36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，请在认购该理财产品前特别注意以下事项：</w:t>
      </w:r>
    </w:p>
    <w:p>
      <w:pPr>
        <w:adjustRightInd w:val="0"/>
        <w:snapToGrid w:val="0"/>
        <w:spacing w:line="360" w:lineRule="auto"/>
        <w:ind w:firstLine="420"/>
        <w:rPr>
          <w:rFonts w:ascii="宋体" w:hAnsi="宋体"/>
          <w:b/>
          <w:bCs/>
          <w:szCs w:val="21"/>
        </w:rPr>
      </w:pPr>
      <w:r>
        <w:rPr>
          <w:rFonts w:hint="eastAsia" w:ascii="宋体" w:hAnsi="宋体"/>
          <w:szCs w:val="21"/>
        </w:rPr>
        <w:t>一、</w:t>
      </w:r>
      <w:r>
        <w:rPr>
          <w:rFonts w:hint="eastAsia"/>
          <w:szCs w:val="21"/>
        </w:rPr>
        <w:t>您将认购的温州银行“金鹿理财</w:t>
      </w:r>
      <w:r>
        <w:rPr>
          <w:rFonts w:hint="eastAsia" w:ascii="宋体" w:hAnsi="宋体"/>
          <w:szCs w:val="21"/>
        </w:rPr>
        <w:t>-</w:t>
      </w:r>
      <w:r>
        <w:rPr>
          <w:rFonts w:hint="eastAsia"/>
          <w:szCs w:val="21"/>
        </w:rPr>
        <w:t>普惠季享”</w:t>
      </w:r>
      <w:r>
        <w:rPr>
          <w:color w:val="000000"/>
          <w:szCs w:val="21"/>
          <w:u w:val="single"/>
        </w:rPr>
        <w:t>24001</w:t>
      </w:r>
      <w:r>
        <w:rPr>
          <w:rFonts w:hint="eastAsia"/>
          <w:szCs w:val="21"/>
        </w:rPr>
        <w:t>号（共同富裕特别款）银行理财计划，投资类型属于</w:t>
      </w:r>
      <w:r>
        <w:rPr>
          <w:rFonts w:hint="eastAsia"/>
          <w:szCs w:val="21"/>
          <w:u w:val="single"/>
        </w:rPr>
        <w:t>固定收益类理财产品</w:t>
      </w:r>
      <w:r>
        <w:rPr>
          <w:rFonts w:hint="eastAsia"/>
          <w:szCs w:val="21"/>
        </w:rPr>
        <w:t>，收益类型为</w:t>
      </w:r>
      <w:r>
        <w:rPr>
          <w:rFonts w:hint="eastAsia"/>
          <w:szCs w:val="21"/>
          <w:u w:val="single"/>
        </w:rPr>
        <w:t>非保本浮动收益型</w:t>
      </w:r>
      <w:r>
        <w:rPr>
          <w:rFonts w:hint="eastAsia"/>
          <w:szCs w:val="21"/>
        </w:rPr>
        <w:t>，运作模式为</w:t>
      </w:r>
      <w:r>
        <w:rPr>
          <w:rFonts w:hint="eastAsia"/>
          <w:szCs w:val="21"/>
          <w:u w:val="single"/>
        </w:rPr>
        <w:t>封闭式净值型</w:t>
      </w:r>
      <w:r>
        <w:rPr>
          <w:rFonts w:hint="eastAsia"/>
          <w:szCs w:val="21"/>
        </w:rPr>
        <w:t>，理财期限为</w:t>
      </w:r>
      <w:r>
        <w:rPr>
          <w:rFonts w:hint="eastAsia"/>
          <w:color w:val="000000"/>
          <w:szCs w:val="21"/>
          <w:u w:val="single"/>
        </w:rPr>
        <w:t>119</w:t>
      </w:r>
      <w:r>
        <w:rPr>
          <w:rFonts w:hint="eastAsia"/>
          <w:szCs w:val="21"/>
        </w:rPr>
        <w:t>天，本产品客户无提前赎回权。</w:t>
      </w:r>
      <w:r>
        <w:rPr>
          <w:rFonts w:hint="eastAsia"/>
          <w:b/>
          <w:szCs w:val="21"/>
        </w:rPr>
        <w:t>根据温</w:t>
      </w:r>
      <w:r>
        <w:rPr>
          <w:rFonts w:hint="eastAsia" w:ascii="宋体" w:hAnsi="宋体"/>
          <w:b/>
          <w:szCs w:val="21"/>
        </w:rPr>
        <w:t>州银行内部风险评级标准，该产品的风险等级为</w:t>
      </w:r>
      <w:r>
        <w:rPr>
          <w:rFonts w:hint="eastAsia" w:ascii="宋体" w:hAnsi="宋体"/>
          <w:b/>
          <w:szCs w:val="21"/>
          <w:u w:val="single"/>
        </w:rPr>
        <w:t>PR</w:t>
      </w:r>
      <w:r>
        <w:rPr>
          <w:rFonts w:ascii="宋体" w:hAnsi="宋体"/>
          <w:b/>
          <w:szCs w:val="21"/>
          <w:u w:val="single"/>
        </w:rPr>
        <w:t>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本理财产品适合客户：经温州银行评估为稳健型、平衡型、进取型、激进型的新签约个人投资者或定向邀约的客户群体。</w:t>
      </w:r>
      <w:r>
        <w:rPr>
          <w:rFonts w:hint="eastAsia" w:ascii="宋体" w:hAnsi="宋体"/>
          <w:b/>
          <w:bCs/>
          <w:szCs w:val="21"/>
        </w:rPr>
        <w:t>如影响您风险承受能力的因素发生变化，请在认购前及时重新完成风险承受能力评估。</w:t>
      </w:r>
    </w:p>
    <w:p>
      <w:pPr>
        <w:adjustRightInd w:val="0"/>
        <w:snapToGrid w:val="0"/>
        <w:spacing w:line="36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等，在极端市场情况下，若产品到期发生投资组合项下投资标的完全损失的最不利情况，投资者将损失全部本金。</w:t>
      </w:r>
    </w:p>
    <w:p>
      <w:pPr>
        <w:adjustRightInd w:val="0"/>
        <w:snapToGrid w:val="0"/>
        <w:spacing w:line="360" w:lineRule="auto"/>
        <w:ind w:firstLine="420"/>
        <w:rPr>
          <w:rFonts w:ascii="宋体" w:hAnsi="宋体"/>
          <w:szCs w:val="21"/>
        </w:rPr>
      </w:pPr>
      <w:r>
        <w:rPr>
          <w:rFonts w:hint="eastAsia" w:ascii="宋体" w:hAnsi="宋体"/>
          <w:szCs w:val="21"/>
        </w:rPr>
        <w:t>根据温州银行对本产品的内部风险评级结果，理财本金有可能因市场波动而蒙受损失，实际理财收益率随投资表现而产生波动，您应充分认识投资风险，谨慎投资。</w:t>
      </w:r>
    </w:p>
    <w:p>
      <w:pPr>
        <w:adjustRightInd w:val="0"/>
        <w:snapToGrid w:val="0"/>
        <w:spacing w:line="360" w:lineRule="auto"/>
        <w:ind w:firstLine="420"/>
        <w:rPr>
          <w:rFonts w:ascii="宋体" w:hAnsi="宋体"/>
          <w:szCs w:val="21"/>
        </w:rPr>
      </w:pPr>
      <w:r>
        <w:rPr>
          <w:rFonts w:hint="eastAsia" w:ascii="宋体" w:hAnsi="宋体"/>
          <w:szCs w:val="21"/>
        </w:rPr>
        <w:t>三、本风险揭示书及《温州银行“金鹿理财-普惠季享”</w:t>
      </w:r>
      <w:r>
        <w:rPr>
          <w:rFonts w:ascii="宋体"/>
          <w:color w:val="000000"/>
          <w:szCs w:val="21"/>
          <w:u w:val="single"/>
        </w:rPr>
        <w:t>24001号</w:t>
      </w:r>
      <w:r>
        <w:rPr>
          <w:rFonts w:hint="eastAsia"/>
          <w:szCs w:val="21"/>
        </w:rPr>
        <w:t>（共同富裕特别款）</w:t>
      </w:r>
      <w:r>
        <w:rPr>
          <w:rFonts w:hint="eastAsia" w:ascii="宋体" w:hAnsi="宋体"/>
          <w:szCs w:val="21"/>
        </w:rPr>
        <w:t>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季享”</w:t>
      </w:r>
      <w:r>
        <w:rPr>
          <w:rFonts w:ascii="宋体"/>
          <w:color w:val="000000"/>
          <w:szCs w:val="21"/>
          <w:u w:val="single"/>
        </w:rPr>
        <w:t>24001号</w:t>
      </w:r>
      <w:r>
        <w:rPr>
          <w:rFonts w:hint="eastAsia"/>
          <w:szCs w:val="21"/>
        </w:rPr>
        <w:t>（共同富裕特别款）</w:t>
      </w:r>
      <w:r>
        <w:rPr>
          <w:rFonts w:hint="eastAsia" w:ascii="宋体" w:hAnsi="宋体"/>
          <w:szCs w:val="21"/>
        </w:rPr>
        <w:t>银行理财计划产品说明书》和《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60" w:lineRule="auto"/>
        <w:ind w:firstLine="420"/>
        <w:rPr>
          <w:rFonts w:ascii="宋体" w:hAnsi="宋体"/>
          <w:szCs w:val="21"/>
        </w:rPr>
      </w:pPr>
      <w:r>
        <w:rPr>
          <w:rFonts w:hint="eastAsia" w:ascii="宋体" w:hAnsi="宋体"/>
          <w:szCs w:val="21"/>
        </w:rPr>
        <w:t>您对本风险揭示书、理财合约和产品说明书的签署，将表明您已了解认购本期理财产品可能存在的风险，且表明您已认真阅读并理解所有的合约文件，并愿意受上述法律文件的约束并依法承担相应的理财投资风险，您认购本期理财产品，并由温州银行将理财资金运用于理财合约和产品说明书约定投资标的，是您的真实意思表达。</w:t>
      </w:r>
    </w:p>
    <w:p>
      <w:pPr>
        <w:adjustRightInd w:val="0"/>
        <w:snapToGrid w:val="0"/>
        <w:spacing w:line="36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6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60" w:lineRule="auto"/>
        <w:rPr>
          <w:b/>
          <w:szCs w:val="21"/>
        </w:rPr>
      </w:pPr>
      <w:r>
        <w:rPr>
          <w:rFonts w:hint="eastAsia"/>
          <w:b/>
          <w:szCs w:val="21"/>
        </w:rPr>
        <w:t>本人经温州银行评估的风险承受能力等级为（客户填写）：</w:t>
      </w:r>
    </w:p>
    <w:p>
      <w:pPr>
        <w:adjustRightInd w:val="0"/>
        <w:snapToGrid w:val="0"/>
        <w:spacing w:line="36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6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60" w:lineRule="auto"/>
        <w:rPr>
          <w:b/>
          <w:szCs w:val="21"/>
        </w:rPr>
      </w:pPr>
      <w:r>
        <w:rPr>
          <w:rFonts w:hint="eastAsia"/>
          <w:b/>
          <w:szCs w:val="21"/>
          <w:u w:val="single"/>
        </w:rPr>
        <w:t xml:space="preserve">                                                                                 </w:t>
      </w:r>
      <w:r>
        <w:rPr>
          <w:rFonts w:hint="eastAsia"/>
          <w:szCs w:val="21"/>
        </w:rPr>
        <w:t>。</w:t>
      </w:r>
    </w:p>
    <w:p>
      <w:pPr>
        <w:adjustRightInd w:val="0"/>
        <w:snapToGrid w:val="0"/>
        <w:spacing w:line="36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60" w:lineRule="auto"/>
        <w:ind w:firstLine="840" w:firstLineChars="400"/>
        <w:rPr>
          <w:rFonts w:ascii="宋体" w:hAnsi="宋体"/>
          <w:szCs w:val="21"/>
        </w:rPr>
      </w:pPr>
    </w:p>
    <w:p>
      <w:pPr>
        <w:adjustRightInd w:val="0"/>
        <w:snapToGrid w:val="0"/>
        <w:spacing w:line="360" w:lineRule="auto"/>
        <w:ind w:firstLine="840" w:firstLineChars="400"/>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pStyle w:val="19"/>
        <w:adjustRightInd w:val="0"/>
        <w:snapToGrid w:val="0"/>
        <w:spacing w:before="0" w:beforeAutospacing="0" w:after="0" w:afterAutospacing="0" w:line="360" w:lineRule="auto"/>
        <w:jc w:val="center"/>
        <w:rPr>
          <w:rFonts w:ascii="黑体" w:eastAsia="黑体"/>
          <w:bCs/>
          <w:sz w:val="30"/>
          <w:szCs w:val="30"/>
        </w:rPr>
      </w:pPr>
    </w:p>
    <w:p>
      <w:pPr>
        <w:pStyle w:val="19"/>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温州银行“金鹿理财-普惠季享”</w:t>
      </w:r>
      <w:r>
        <w:rPr>
          <w:rFonts w:ascii="黑体" w:eastAsia="黑体"/>
          <w:color w:val="000000"/>
          <w:sz w:val="30"/>
          <w:szCs w:val="30"/>
          <w:u w:val="single"/>
        </w:rPr>
        <w:t>24001</w:t>
      </w:r>
      <w:r>
        <w:rPr>
          <w:rFonts w:hint="eastAsia" w:ascii="黑体" w:eastAsia="黑体"/>
          <w:bCs/>
          <w:sz w:val="30"/>
          <w:szCs w:val="30"/>
        </w:rPr>
        <w:t>号（共同富裕特别款）</w:t>
      </w:r>
    </w:p>
    <w:p>
      <w:pPr>
        <w:pStyle w:val="19"/>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银行理财计划产品说明书</w:t>
      </w:r>
    </w:p>
    <w:p>
      <w:pPr>
        <w:adjustRightInd w:val="0"/>
        <w:snapToGrid w:val="0"/>
        <w:spacing w:before="120" w:line="300" w:lineRule="auto"/>
        <w:rPr>
          <w:b/>
          <w:sz w:val="18"/>
          <w:szCs w:val="18"/>
        </w:rPr>
      </w:pPr>
      <w:r>
        <w:rPr>
          <w:rFonts w:hint="eastAsia"/>
          <w:b/>
          <w:sz w:val="18"/>
          <w:szCs w:val="18"/>
        </w:rPr>
        <w:t>重要须知</w:t>
      </w:r>
    </w:p>
    <w:p>
      <w:pPr>
        <w:adjustRightInd w:val="0"/>
        <w:snapToGrid w:val="0"/>
        <w:spacing w:line="300" w:lineRule="auto"/>
        <w:rPr>
          <w:sz w:val="18"/>
          <w:szCs w:val="18"/>
        </w:rPr>
      </w:pPr>
      <w:r>
        <w:rPr>
          <w:rFonts w:hint="eastAsia"/>
          <w:sz w:val="18"/>
          <w:szCs w:val="18"/>
        </w:rPr>
        <w:t>本产品与银行存款存在明显区别，具有一定的风险。</w:t>
      </w:r>
    </w:p>
    <w:p>
      <w:pPr>
        <w:adjustRightInd w:val="0"/>
        <w:snapToGrid w:val="0"/>
        <w:spacing w:line="300" w:lineRule="auto"/>
        <w:rPr>
          <w:sz w:val="18"/>
          <w:szCs w:val="18"/>
        </w:rPr>
      </w:pPr>
      <w:r>
        <w:rPr>
          <w:rFonts w:hint="eastAsia"/>
          <w:sz w:val="18"/>
          <w:szCs w:val="18"/>
        </w:rPr>
        <w:t>本产品适合于经温州银行评估为稳健型、平衡型、进取型、激进型的新签约个人投资者或定向邀约的客户群体。</w:t>
      </w:r>
    </w:p>
    <w:p>
      <w:pPr>
        <w:adjustRightInd w:val="0"/>
        <w:snapToGrid w:val="0"/>
        <w:spacing w:line="300" w:lineRule="auto"/>
        <w:rPr>
          <w:b/>
          <w:sz w:val="18"/>
          <w:szCs w:val="18"/>
        </w:rPr>
      </w:pPr>
      <w:r>
        <w:rPr>
          <w:b/>
          <w:sz w:val="18"/>
          <w:szCs w:val="18"/>
        </w:rPr>
        <w:t xml:space="preserve">*** </w:t>
      </w:r>
      <w:r>
        <w:rPr>
          <w:rFonts w:hint="eastAsia"/>
          <w:b/>
          <w:sz w:val="18"/>
          <w:szCs w:val="18"/>
        </w:rPr>
        <w:t>本产品主要风险为理财本金及收益风险，在极端市场情况下，若产品到期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300" w:lineRule="auto"/>
        <w:rPr>
          <w:sz w:val="18"/>
          <w:szCs w:val="18"/>
        </w:rPr>
      </w:pPr>
      <w:r>
        <w:rPr>
          <w:rFonts w:hint="eastAsia"/>
          <w:sz w:val="18"/>
          <w:szCs w:val="18"/>
        </w:rPr>
        <w:t>投资者在温州银行签署理财合约认购本产品前，应当仔细阅读本说明书的全部内容，同时向温州银行了解本产品的其他相关信息，确保自身完全了解该项投资的性质、投资所涉及的风险以及自身的风险承受能力，在慎重考虑后独立做出认购决定。本说明书及投资者在温州银行签署的理财计划合约，将共同构成客户与发行银行之间的银行理财计划交易合同。</w:t>
      </w:r>
    </w:p>
    <w:p>
      <w:pPr>
        <w:adjustRightInd w:val="0"/>
        <w:snapToGrid w:val="0"/>
        <w:spacing w:line="300" w:lineRule="auto"/>
        <w:rPr>
          <w:sz w:val="18"/>
          <w:szCs w:val="18"/>
        </w:rPr>
      </w:pPr>
      <w:r>
        <w:rPr>
          <w:rFonts w:hint="eastAsia"/>
          <w:sz w:val="18"/>
          <w:szCs w:val="18"/>
        </w:rPr>
        <w:t>投资者在认购本产品后，应随时关注本产品的信息披露情况，及时获取相关信息。如对本产品有任何疑问、异议或意见，请联系温州银行客户经理或反馈至银行营业网点，也可致电银行客户服务热线（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300" w:lineRule="auto"/>
        <w:rPr>
          <w:b/>
          <w:sz w:val="18"/>
          <w:szCs w:val="18"/>
        </w:rPr>
      </w:pPr>
      <w:r>
        <w:rPr>
          <w:rFonts w:hint="eastAsia"/>
          <w:b/>
          <w:sz w:val="18"/>
          <w:szCs w:val="18"/>
        </w:rPr>
        <w:t>释义</w:t>
      </w:r>
    </w:p>
    <w:p>
      <w:pPr>
        <w:adjustRightInd w:val="0"/>
        <w:snapToGrid w:val="0"/>
        <w:spacing w:line="300" w:lineRule="auto"/>
        <w:rPr>
          <w:sz w:val="18"/>
          <w:szCs w:val="18"/>
        </w:rPr>
      </w:pPr>
      <w:r>
        <w:rPr>
          <w:rFonts w:hint="eastAsia"/>
          <w:sz w:val="18"/>
          <w:szCs w:val="18"/>
        </w:rPr>
        <w:t>本说明书中，除非另有明确说明，否则下列词语或简称具有如下含义：</w:t>
      </w:r>
    </w:p>
    <w:p>
      <w:pPr>
        <w:adjustRightInd w:val="0"/>
        <w:snapToGrid w:val="0"/>
        <w:spacing w:line="300"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普惠季享”24001号（共同富裕特别款）银行理财计划</w:t>
      </w:r>
    </w:p>
    <w:p>
      <w:pPr>
        <w:adjustRightInd w:val="0"/>
        <w:snapToGrid w:val="0"/>
        <w:spacing w:line="300" w:lineRule="auto"/>
        <w:rPr>
          <w:sz w:val="18"/>
          <w:szCs w:val="18"/>
        </w:rPr>
      </w:pPr>
      <w:r>
        <w:rPr>
          <w:rFonts w:hint="eastAsia"/>
          <w:sz w:val="18"/>
          <w:szCs w:val="18"/>
        </w:rPr>
        <w:t>发行银行：指温州银行股份有限公司</w:t>
      </w:r>
    </w:p>
    <w:p>
      <w:pPr>
        <w:adjustRightInd w:val="0"/>
        <w:snapToGrid w:val="0"/>
        <w:spacing w:line="300" w:lineRule="auto"/>
        <w:rPr>
          <w:sz w:val="18"/>
          <w:szCs w:val="18"/>
        </w:rPr>
      </w:pPr>
      <w:r>
        <w:rPr>
          <w:rFonts w:hint="eastAsia"/>
          <w:sz w:val="18"/>
          <w:szCs w:val="18"/>
        </w:rPr>
        <w:t>产品托管人：具有证券投资基金托管业务资格的商业银行</w:t>
      </w:r>
    </w:p>
    <w:p>
      <w:pPr>
        <w:adjustRightInd w:val="0"/>
        <w:snapToGrid w:val="0"/>
        <w:spacing w:line="300"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w:t>
      </w:r>
      <w:r>
        <w:rPr>
          <w:b/>
          <w:sz w:val="18"/>
          <w:szCs w:val="18"/>
        </w:rPr>
        <w:t>2</w:t>
      </w:r>
    </w:p>
    <w:p>
      <w:pPr>
        <w:widowControl/>
        <w:adjustRightInd w:val="0"/>
        <w:snapToGrid w:val="0"/>
        <w:spacing w:line="300" w:lineRule="auto"/>
        <w:outlineLvl w:val="0"/>
        <w:rPr>
          <w:b/>
          <w:sz w:val="18"/>
          <w:szCs w:val="18"/>
        </w:rPr>
      </w:pPr>
    </w:p>
    <w:tbl>
      <w:tblPr>
        <w:tblStyle w:val="9"/>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0" name="文本框 24"/>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r>
                              <w:rPr>
                                <w:rFonts w:hint="eastAsia"/>
                              </w:rPr>
                              <w:t>业绩比较基准</w:t>
                            </w:r>
                          </w:p>
                        </w:txbxContent>
                      </wps:txbx>
                      <wps:bodyPr vert="eaVert" wrap="square" upright="1"/>
                    </wps:wsp>
                  </a:graphicData>
                </a:graphic>
              </wp:anchor>
            </w:drawing>
          </mc:Choice>
          <mc:Fallback>
            <w:pict>
              <v:shape id="文本框 24"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Eno3szZAAAACAEAAA8AAAAAAAAA&#10;AQAgAAAAIgAAAGRycy9kb3ducmV2LnhtbFBLAQIUABQAAAAIAIdO4kDgultv1wEAAKIDAAAOAAAA&#10;AAAAAAEAIAAAACgBAABkcnMvZTJvRG9jLnhtbFBLBQYAAAAABgAGAFkBAABxBQ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c">
            <w:drawing>
              <wp:inline distT="0" distB="0" distL="114300" distR="114300">
                <wp:extent cx="3929380" cy="1896745"/>
                <wp:effectExtent l="0" t="0" r="7620" b="8255"/>
                <wp:docPr id="9" name="画布 1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 name="直线 16"/>
                        <wps:cNvCnPr/>
                        <wps:spPr>
                          <a:xfrm>
                            <a:off x="161290" y="1626870"/>
                            <a:ext cx="3463290" cy="635"/>
                          </a:xfrm>
                          <a:prstGeom prst="line">
                            <a:avLst/>
                          </a:prstGeom>
                          <a:ln w="9525" cap="flat" cmpd="sng">
                            <a:solidFill>
                              <a:srgbClr val="000000"/>
                            </a:solidFill>
                            <a:prstDash val="solid"/>
                            <a:headEnd type="none" w="med" len="med"/>
                            <a:tailEnd type="triangle" w="med" len="med"/>
                          </a:ln>
                          <a:effectLst/>
                        </wps:spPr>
                        <wps:bodyPr/>
                      </wps:wsp>
                      <wps:wsp>
                        <wps:cNvPr id="2" name="直线 17"/>
                        <wps:cNvCnPr/>
                        <wps:spPr>
                          <a:xfrm flipV="1">
                            <a:off x="389890" y="635"/>
                            <a:ext cx="635" cy="1863725"/>
                          </a:xfrm>
                          <a:prstGeom prst="line">
                            <a:avLst/>
                          </a:prstGeom>
                          <a:ln w="9525" cap="flat" cmpd="sng">
                            <a:solidFill>
                              <a:srgbClr val="000000"/>
                            </a:solidFill>
                            <a:prstDash val="solid"/>
                            <a:headEnd type="none" w="med" len="med"/>
                            <a:tailEnd type="triangle" w="med" len="med"/>
                          </a:ln>
                          <a:effectLst/>
                        </wps:spPr>
                        <wps:bodyPr/>
                      </wps:wsp>
                      <wps:wsp>
                        <wps:cNvPr id="3" name="矩形 18"/>
                        <wps:cNvSpPr/>
                        <wps:spPr>
                          <a:xfrm>
                            <a:off x="503555" y="1230630"/>
                            <a:ext cx="5099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PR1</w:t>
                              </w:r>
                            </w:p>
                          </w:txbxContent>
                        </wps:txbx>
                        <wps:bodyPr wrap="square" upright="1"/>
                      </wps:wsp>
                      <wps:wsp>
                        <wps:cNvPr id="4" name="矩形 19"/>
                        <wps:cNvSpPr/>
                        <wps:spPr>
                          <a:xfrm>
                            <a:off x="1019175" y="933450"/>
                            <a:ext cx="513080" cy="297180"/>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PR2</w:t>
                              </w:r>
                            </w:p>
                          </w:txbxContent>
                        </wps:txbx>
                        <wps:bodyPr wrap="square" upright="1"/>
                      </wps:wsp>
                      <wps:wsp>
                        <wps:cNvPr id="5" name="矩形 20"/>
                        <wps:cNvSpPr/>
                        <wps:spPr>
                          <a:xfrm>
                            <a:off x="1533525" y="636270"/>
                            <a:ext cx="517525" cy="297180"/>
                          </a:xfrm>
                          <a:prstGeom prst="rect">
                            <a:avLst/>
                          </a:prstGeom>
                          <a:no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PR3</w:t>
                              </w:r>
                            </w:p>
                          </w:txbxContent>
                        </wps:txbx>
                        <wps:bodyPr wrap="square" upright="1"/>
                      </wps:wsp>
                      <wps:wsp>
                        <wps:cNvPr id="6" name="矩形 21"/>
                        <wps:cNvSpPr/>
                        <wps:spPr>
                          <a:xfrm>
                            <a:off x="2047875" y="339090"/>
                            <a:ext cx="5226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PR4</w:t>
                              </w:r>
                            </w:p>
                          </w:txbxContent>
                        </wps:txbx>
                        <wps:bodyPr wrap="square" upright="1"/>
                      </wps:wsp>
                      <wps:wsp>
                        <wps:cNvPr id="7" name="矩形 22"/>
                        <wps:cNvSpPr/>
                        <wps:spPr>
                          <a:xfrm>
                            <a:off x="2570480" y="41910"/>
                            <a:ext cx="53403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PR5</w:t>
                              </w:r>
                            </w:p>
                          </w:txbxContent>
                        </wps:txbx>
                        <wps:bodyPr wrap="square" upright="1"/>
                      </wps:wsp>
                      <wps:wsp>
                        <wps:cNvPr id="8" name="矩形 23"/>
                        <wps:cNvSpPr/>
                        <wps:spPr>
                          <a:xfrm>
                            <a:off x="2305050" y="1651635"/>
                            <a:ext cx="1624330" cy="245110"/>
                          </a:xfrm>
                          <a:prstGeom prst="rect">
                            <a:avLst/>
                          </a:prstGeom>
                          <a:solidFill>
                            <a:srgbClr val="FFFFFF"/>
                          </a:solidFill>
                          <a:ln>
                            <a:noFill/>
                          </a:ln>
                          <a:effectLst/>
                        </wps:spPr>
                        <wps:txbx>
                          <w:txbxContent>
                            <w:p>
                              <w:pPr>
                                <w:jc w:val="center"/>
                                <w:rPr>
                                  <w:sz w:val="18"/>
                                  <w:szCs w:val="18"/>
                                </w:rPr>
                              </w:pPr>
                              <w:r>
                                <w:rPr>
                                  <w:rFonts w:hint="eastAsia"/>
                                  <w:sz w:val="18"/>
                                  <w:szCs w:val="18"/>
                                </w:rPr>
                                <w:t>风险程度</w:t>
                              </w:r>
                            </w:p>
                          </w:txbxContent>
                        </wps:txbx>
                        <wps:bodyPr wrap="square" upright="1"/>
                      </wps:wsp>
                    </wpc:wpc>
                  </a:graphicData>
                </a:graphic>
              </wp:inline>
            </w:drawing>
          </mc:Choice>
          <mc:Fallback>
            <w:pict>
              <v:group id="画布 14" o:spid="_x0000_s1026" o:spt="203" style="height:149.35pt;width:309.4pt;" coordsize="3929380,1896745" editas="canvas"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">
                <o:lock v:ext="edit" aspectratio="f"/>
                <v:shape id="画布 14" o:spid="_x0000_s1026" style="position:absolute;left:0;top:0;height:1896745;width:3929380;" filled="f" stroked="f" coordsize="21600,21600"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">
                  <v:fill on="f" focussize="0,0"/>
                  <v:stroke on="f"/>
                  <v:imagedata o:title=""/>
                  <o:lock v:ext="edit" aspectratio="t"/>
                </v:shape>
                <v:line id="直线 16" o:spid="_x0000_s1026" o:spt="20" style="position:absolute;left:161290;top:1626870;height:635;width:3463290;" filled="f" stroked="t" coordsize="21600,21600" o:gfxdata="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">
                  <v:fill on="f" focussize="0,0"/>
                  <v:stroke color="#000000" joinstyle="round" endarrow="block"/>
                  <v:imagedata o:title=""/>
                  <o:lock v:ext="edit" aspectratio="f"/>
                </v:line>
                <v:line id="直线 17" o:spid="_x0000_s1026" o:spt="20" style="position:absolute;left:389890;top:635;flip:y;height:1863725;width:635;" filled="f" stroked="t" coordsize="21600,21600" o:gfxdata="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7WAFr9cAAAAFAQAADwAAAAAAAAABACAAAAAiAAAAZHJzL2Rvd25y&#10;ZXYueG1sUEsBAhQAFAAAAAgAh07iQG7Q6eD/AQAA9QMAAA4AAAAAAAAAAQAgAAAAJgEAAGRycy9l&#10;Mm9Eb2MueG1sUEsFBgAAAAAGAAYAWQEAAJcFAAAAAA==&#10;">
                  <v:fill on="f" focussize="0,0"/>
                  <v:stroke color="#000000" joinstyle="round" endarrow="block"/>
                  <v:imagedata o:title=""/>
                  <o:lock v:ext="edit" aspectratio="f"/>
                </v:line>
                <v:rect id="矩形 18" o:spid="_x0000_s1026" o:spt="1" style="position:absolute;left:503555;top:1230630;height:297180;width:5099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bRgXNtUAAAAFAQAA&#10;DwAAAAAAAAABACAAAAAiAAAAZHJzL2Rvd25yZXYueG1sUEsBAhQAFAAAAAgAh07iQNktssUcAgAA&#10;UAQAAA4AAAAAAAAAAQAgAAAAJAEAAGRycy9lMm9Eb2MueG1sUEsFBgAAAAAGAAYAWQEAALIFAAAA&#10;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矩形 19" o:spid="_x0000_s1026" o:spt="1" style="position:absolute;left:1019175;top:933450;height:297180;width:513080;" fillcolor="#FFFF00" filled="t" stroked="t" coordsize="21600,21600" o:gfxdata="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&#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矩形 20" o:spid="_x0000_s1026" o:spt="1" style="position:absolute;left:1533525;top:636270;height:297180;width:517525;" filled="f" stroked="t" coordsize="21600,21600" o:gfxdata="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A0Cp6Q1QAAAAUBAAAPAAAAAAAAAAEA&#10;IAAAACIAAABkcnMvZG93bnJldi54bWxQSwECFAAUAAAACACHTuJAjnRJhhICAAAnBAAADgAAAAAA&#10;AAABACAAAAAkAQAAZHJzL2Uyb0RvYy54bWxQSwUGAAAAAAYABgBZAQAAqAUAAAAA&#10;">
                  <v:fill on="f"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矩形 21" o:spid="_x0000_s1026" o:spt="1" style="position:absolute;left:2047875;top:339090;height:297180;width:5226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矩形 22" o:spid="_x0000_s1026" o:spt="1" style="position:absolute;left:2570480;top:41910;height:297180;width:53403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G0YFzbVAAAABQEAAA8A&#10;AAAAAAAAAQAgAAAAIgAAAGRycy9kb3ducmV2LnhtbFBLAQIUABQAAAAIAIdO4kBD6jgqGgIAAE8E&#10;AAAOAAAAAAAAAAEAIAAAACQBAABkcnMvZTJvRG9jLnhtbFBLBQYAAAAABgAGAFkBAACwBQ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矩形 23" o:spid="_x0000_s1026" o:spt="1" style="position:absolute;left:2305050;top:1651635;height:245110;width:1624330;" fillcolor="#FFFFFF" filled="t" stroked="f" coordsize="21600,21600" o:gfxdata="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Bn4dho1QAAAAUBAAAPAAAAAAAAAAEAIAAAACIA&#10;AABkcnMvZG93bnJldi54bWxQSwECFAAUAAAACACHTuJAXjW2J9MBAACTAwAADgAAAAAAAAABACAA&#10;AAAkAQAAZHJzL2Uyb0RvYy54bWxQSwUGAAAAAAYABgBZAQAAaQU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w:t>
      </w:r>
      <w:r>
        <w:rPr>
          <w:sz w:val="18"/>
          <w:szCs w:val="18"/>
        </w:rPr>
        <w:t>2</w:t>
      </w:r>
      <w:r>
        <w:rPr>
          <w:rFonts w:hint="eastAsia"/>
          <w:sz w:val="18"/>
          <w:szCs w:val="18"/>
        </w:rPr>
        <w:t>。该评级仅是温州银行内部测评结果，仅供投资者参考，不具有任何法律约束力。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 xml:space="preserve"> “</w:t>
            </w:r>
            <w:r>
              <w:rPr>
                <w:rFonts w:hint="eastAsia"/>
                <w:sz w:val="18"/>
                <w:szCs w:val="18"/>
              </w:rPr>
              <w:t>金鹿理财</w:t>
            </w:r>
            <w:r>
              <w:rPr>
                <w:sz w:val="18"/>
                <w:szCs w:val="18"/>
              </w:rPr>
              <w:t>-</w:t>
            </w:r>
            <w:r>
              <w:rPr>
                <w:rFonts w:hint="eastAsia"/>
                <w:sz w:val="18"/>
                <w:szCs w:val="18"/>
              </w:rPr>
              <w:t>普惠季享</w:t>
            </w:r>
            <w:r>
              <w:rPr>
                <w:sz w:val="18"/>
                <w:szCs w:val="18"/>
              </w:rPr>
              <w:t>”</w:t>
            </w:r>
            <w:r>
              <w:rPr>
                <w:color w:val="000000"/>
                <w:sz w:val="18"/>
                <w:szCs w:val="18"/>
                <w:u w:val="single"/>
              </w:rPr>
              <w:t>24001</w:t>
            </w:r>
            <w:r>
              <w:rPr>
                <w:sz w:val="18"/>
                <w:szCs w:val="18"/>
              </w:rPr>
              <w:t>号</w:t>
            </w:r>
            <w:r>
              <w:rPr>
                <w:rFonts w:hint="eastAsia"/>
                <w:sz w:val="18"/>
                <w:szCs w:val="18"/>
              </w:rPr>
              <w:t>（共同富裕特别款）银行理财计划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color w:val="000000"/>
                <w:sz w:val="18"/>
                <w:szCs w:val="18"/>
              </w:rPr>
              <w:t>JX2401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color w:val="000000"/>
                <w:sz w:val="18"/>
                <w:szCs w:val="18"/>
              </w:rPr>
            </w:pPr>
            <w:r>
              <w:rPr>
                <w:color w:val="000000"/>
                <w:sz w:val="18"/>
                <w:szCs w:val="18"/>
              </w:rPr>
              <w:t xml:space="preserve">C1092224000001 </w:t>
            </w:r>
          </w:p>
          <w:p>
            <w:pPr>
              <w:adjustRightInd w:val="0"/>
              <w:snapToGrid w:val="0"/>
              <w:spacing w:line="288" w:lineRule="auto"/>
              <w:jc w:val="center"/>
              <w:rPr>
                <w:sz w:val="18"/>
                <w:szCs w:val="18"/>
              </w:rPr>
            </w:pPr>
            <w:r>
              <w:rPr>
                <w:sz w:val="18"/>
                <w:szCs w:val="18"/>
              </w:rPr>
              <w:t>(</w:t>
            </w:r>
            <w:r>
              <w:rPr>
                <w:rFonts w:hint="eastAsia"/>
                <w:sz w:val="18"/>
                <w:szCs w:val="18"/>
              </w:rPr>
              <w:t>投资者可登录中国理财网</w:t>
            </w:r>
            <w:r>
              <w:rPr>
                <w:sz w:val="18"/>
                <w:szCs w:val="18"/>
                <w:u w:val="single"/>
              </w:rPr>
              <w:t>www.chinawealth.com.cn</w:t>
            </w:r>
            <w:r>
              <w:rPr>
                <w:rFonts w:hint="eastAsia"/>
                <w:sz w:val="18"/>
                <w:szCs w:val="18"/>
              </w:rPr>
              <w:t>查询产品信息</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封闭式净值型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根据温州银行内部风险评级标准，本产品的风险等级为</w:t>
            </w:r>
            <w:r>
              <w:rPr>
                <w:sz w:val="18"/>
                <w:szCs w:val="18"/>
              </w:rPr>
              <w:t>PR2</w:t>
            </w:r>
            <w:r>
              <w:rPr>
                <w:rFonts w:hint="eastAsia"/>
                <w:sz w:val="18"/>
                <w:szCs w:val="18"/>
              </w:rPr>
              <w:t>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经温州银行风险承受能力评估为稳健型、平衡型、进取型、激进型的新签约个人投资者或定向邀约的客户群体。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理财期限（</w:t>
            </w:r>
            <w:r>
              <w:rPr>
                <w:sz w:val="18"/>
                <w:szCs w:val="18"/>
              </w:rPr>
              <w:t>T</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u w:val="single"/>
              </w:rPr>
              <w:t>119</w:t>
            </w:r>
            <w:r>
              <w:rPr>
                <w:rFonts w:hint="eastAsia"/>
                <w:sz w:val="18"/>
                <w:szCs w:val="18"/>
              </w:rPr>
              <w:t>天</w:t>
            </w:r>
            <w:r>
              <w:rPr>
                <w:sz w:val="18"/>
                <w:szCs w:val="18"/>
              </w:rPr>
              <w:t xml:space="preserve">  </w:t>
            </w:r>
            <w:r>
              <w:rPr>
                <w:rFonts w:hint="eastAsia"/>
                <w:sz w:val="18"/>
                <w:szCs w:val="18"/>
              </w:rPr>
              <w:t>（实际理财期限受制于温州银行提前终止权等条款）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收益类型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非保本浮动收益型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发售规模不超过10</w:t>
            </w:r>
            <w:r>
              <w:rPr>
                <w:sz w:val="18"/>
                <w:szCs w:val="18"/>
              </w:rPr>
              <w:t>000</w:t>
            </w:r>
            <w:r>
              <w:rPr>
                <w:rFonts w:hint="eastAsia"/>
                <w:sz w:val="18"/>
                <w:szCs w:val="18"/>
              </w:rPr>
              <w:t>万元（温州银行有权根据产品募集和市场情况调整计划发行量。若认购期内实际募集金额超过计划发行量，则以实际募集金额为准。）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认购期</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u w:val="single"/>
              </w:rPr>
            </w:pPr>
            <w:r>
              <w:rPr>
                <w:color w:val="000000"/>
                <w:sz w:val="18"/>
                <w:u w:val="single"/>
              </w:rPr>
              <w:t>2024年1月30日</w:t>
            </w:r>
            <w:r>
              <w:rPr>
                <w:rFonts w:hint="eastAsia"/>
                <w:sz w:val="18"/>
                <w:u w:val="single"/>
              </w:rPr>
              <w:t>至</w:t>
            </w:r>
            <w:r>
              <w:rPr>
                <w:color w:val="000000"/>
                <w:sz w:val="18"/>
                <w:u w:val="single"/>
              </w:rPr>
              <w:t>2024年</w:t>
            </w:r>
            <w:r>
              <w:rPr>
                <w:rFonts w:hint="eastAsia"/>
                <w:color w:val="000000"/>
                <w:sz w:val="18"/>
                <w:u w:val="single"/>
              </w:rPr>
              <w:t>2</w:t>
            </w:r>
            <w:r>
              <w:rPr>
                <w:color w:val="000000"/>
                <w:sz w:val="18"/>
                <w:u w:val="single"/>
              </w:rPr>
              <w:t>月5日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温州银行有权根据实际募集情况选择产品提前成立，若温州银行采取以上措施，温州银行将就产品相应要素的调整事宜于提前成立日前的一个工作日在温州银行网站予以公告。认购期结束，如出现国家金融政策重大调整、市场发生剧烈波动等不利情形时，温州银行经合理判断有权延长认购期或宣布产品不成立。延长认购期时，理财开始日、理财期限等需要相应调整。若温州银行采取以上措施，温州银行将就相关调整事宜于认购期结束后第一个工作日在温州银行网站予以公告。产品不成立时，理财本金将不会于理财开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理财开始日</w:t>
            </w:r>
          </w:p>
          <w:p>
            <w:pPr>
              <w:adjustRightInd w:val="0"/>
              <w:snapToGrid w:val="0"/>
              <w:spacing w:line="288" w:lineRule="auto"/>
              <w:jc w:val="center"/>
              <w:rPr>
                <w:sz w:val="18"/>
                <w:szCs w:val="18"/>
              </w:rPr>
            </w:pPr>
            <w:r>
              <w:rPr>
                <w:rFonts w:hint="eastAsia"/>
                <w:sz w:val="18"/>
                <w:szCs w:val="18"/>
              </w:rPr>
              <w:t>（成立日）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u w:val="single"/>
              </w:rPr>
            </w:pPr>
            <w:r>
              <w:rPr>
                <w:color w:val="000000"/>
                <w:sz w:val="18"/>
                <w:szCs w:val="18"/>
                <w:u w:val="single"/>
              </w:rPr>
              <w:t>2024年</w:t>
            </w:r>
            <w:r>
              <w:rPr>
                <w:rFonts w:hint="eastAsia"/>
                <w:color w:val="000000"/>
                <w:sz w:val="18"/>
                <w:szCs w:val="18"/>
                <w:u w:val="single"/>
              </w:rPr>
              <w:t>2</w:t>
            </w:r>
            <w:r>
              <w:rPr>
                <w:color w:val="000000"/>
                <w:sz w:val="18"/>
                <w:szCs w:val="18"/>
                <w:u w:val="single"/>
              </w:rPr>
              <w:t>月6日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理财预计到期日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24"/>
                <w:u w:val="single"/>
              </w:rPr>
            </w:pPr>
            <w:r>
              <w:rPr>
                <w:color w:val="000000"/>
                <w:sz w:val="18"/>
                <w:szCs w:val="24"/>
                <w:u w:val="single"/>
              </w:rPr>
              <w:t>2024年6月4日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业绩比较基准（</w:t>
            </w:r>
            <w:r>
              <w:rPr>
                <w:sz w:val="18"/>
                <w:szCs w:val="18"/>
              </w:rPr>
              <w:t>R</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rPr>
              <w:t>3.15%（年化）</w:t>
            </w:r>
          </w:p>
          <w:p>
            <w:pPr>
              <w:adjustRightInd w:val="0"/>
              <w:snapToGrid w:val="0"/>
              <w:spacing w:line="288" w:lineRule="auto"/>
              <w:jc w:val="left"/>
              <w:rPr>
                <w:sz w:val="18"/>
                <w:szCs w:val="18"/>
              </w:rPr>
            </w:pPr>
            <w:r>
              <w:rPr>
                <w:rFonts w:hint="eastAsia"/>
                <w:sz w:val="18"/>
                <w:szCs w:val="18"/>
              </w:rPr>
              <w:t>本产品为净值型理财产品，其业绩表现将随市场波动具有不确定性。业绩比较基准并不代表实际收益率，仅作为浮动管理费计提参照使用。业绩比较基准测算依据：管理人</w:t>
            </w:r>
            <w:r>
              <w:rPr>
                <w:sz w:val="18"/>
                <w:szCs w:val="18"/>
              </w:rPr>
              <w:t>参考过往投资经验，依据近期货币市场工具、债券等资产</w:t>
            </w:r>
            <w:r>
              <w:rPr>
                <w:rFonts w:hint="eastAsia"/>
                <w:sz w:val="18"/>
                <w:szCs w:val="18"/>
              </w:rPr>
              <w:t>投资</w:t>
            </w:r>
            <w:r>
              <w:rPr>
                <w:sz w:val="18"/>
                <w:szCs w:val="18"/>
              </w:rPr>
              <w:t>收益水平，在产品说明书约定的投资范围和投资比例内</w:t>
            </w:r>
            <w:r>
              <w:rPr>
                <w:rFonts w:hint="eastAsia"/>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left"/>
              <w:rPr>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0.0</w:t>
            </w:r>
            <w:r>
              <w:rPr>
                <w:rFonts w:hint="eastAsia"/>
                <w:sz w:val="18"/>
                <w:szCs w:val="18"/>
              </w:rPr>
              <w:t>05</w:t>
            </w:r>
            <w:r>
              <w:rPr>
                <w:sz w:val="18"/>
                <w:szCs w:val="18"/>
              </w:rPr>
              <w:t>%</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期末累计单位净值年化增长率超过业绩比较基准，则超出部分2</w:t>
            </w:r>
            <w:r>
              <w:rPr>
                <w:sz w:val="18"/>
                <w:szCs w:val="18"/>
              </w:rPr>
              <w:t>0%</w:t>
            </w:r>
            <w:r>
              <w:rPr>
                <w:rFonts w:hint="eastAsia"/>
                <w:sz w:val="18"/>
                <w:szCs w:val="18"/>
              </w:rPr>
              <w:t>归客户所有，80</w:t>
            </w:r>
            <w:r>
              <w:rPr>
                <w:sz w:val="18"/>
                <w:szCs w:val="18"/>
              </w:rPr>
              <w:t>%</w:t>
            </w:r>
            <w:r>
              <w:rPr>
                <w:rFonts w:hint="eastAsia"/>
                <w:sz w:val="18"/>
                <w:szCs w:val="18"/>
              </w:rPr>
              <w:t>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ascii="宋体" w:hAnsi="宋体"/>
                <w:sz w:val="18"/>
              </w:rPr>
              <w:t>认购起点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ascii="宋体" w:hAnsi="宋体"/>
                <w:sz w:val="18"/>
              </w:rPr>
              <w:t>认购上限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djustRightInd w:val="0"/>
              <w:snapToGrid w:val="0"/>
              <w:spacing w:line="288" w:lineRule="auto"/>
              <w:rPr>
                <w:rFonts w:ascii="宋体" w:hAnsi="宋体"/>
                <w:sz w:val="18"/>
              </w:rPr>
            </w:pPr>
            <w:r>
              <w:rPr>
                <w:rFonts w:hint="eastAsia" w:ascii="宋体" w:hAnsi="宋体"/>
                <w:sz w:val="18"/>
              </w:rPr>
              <w:t>单一投资者持有份额不得超过总份额的50%；投资者持有份额的计算以管理人登记为准。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7"/>
              <w:rPr>
                <w:sz w:val="18"/>
                <w:szCs w:val="18"/>
              </w:rPr>
            </w:pPr>
            <w:r>
              <w:rPr>
                <w:rFonts w:hint="eastAsia"/>
                <w:sz w:val="18"/>
                <w:szCs w:val="18"/>
              </w:rPr>
              <w:t>单位净值为提取相关费用后的单位理财产品份额净值，理财产品估值日单位净值=理财产品估值日理财产品总净值/产品总份额。理财产品总净值=理财产品认购总额+理财产品所获总收益-理财产品总费用（包括但不限于固定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产品托管人及主要职责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具有证券投资基金托管业务资格的商业银行。托管人提供账户开户、资金保管、资金清算、估值核对、监督本产品的投资运作、办理与本产品托管业务活动相关的信息披露事项等理财产品托管服务。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客户无提前终止权。如遇国家金融政策出现重大调整并影响到本产品的正常运行或温州银行有合理理由认为将影响本理财计划正常运作的其他情形时，温州银行有权但无义务提前终止本产品。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理财本金在理财开始日前交存于温州银行的，按当时实行的活期利率计息。到期日到理财资金返还到账日为还本清算期，还本清算期内不计付利息和收益。</w:t>
            </w:r>
          </w:p>
        </w:tc>
      </w:tr>
    </w:tbl>
    <w:p>
      <w:pPr>
        <w:adjustRightInd w:val="0"/>
        <w:snapToGrid w:val="0"/>
        <w:spacing w:before="156" w:beforeLines="50" w:line="300"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将理财产品募集资金直接或间接配置于存款、大额存单、同业存单、债券回购、货币市场工具、债券等债权类资产及权益类资产，包括但不限于银行间市场和证券交易所市场债权性资产、非标准化债权资产、公募基金、资产管理计划、信托计划、各类受（收）益权、资产支持证券、票据资产、债券型基金、股票型基金、证券投资基金、</w:t>
      </w:r>
      <w:r>
        <w:rPr>
          <w:rFonts w:hint="eastAsia" w:ascii="宋体" w:cs="宋体"/>
          <w:kern w:val="0"/>
          <w:sz w:val="18"/>
          <w:szCs w:val="18"/>
          <w:lang w:val="zh-CN"/>
        </w:rPr>
        <w:t>上市交易的股票、未上市企业股权及其受（收）益权、</w:t>
      </w:r>
      <w:r>
        <w:rPr>
          <w:rFonts w:hint="eastAsia" w:ascii="宋体" w:cs="宋体"/>
          <w:kern w:val="0"/>
          <w:sz w:val="18"/>
          <w:szCs w:val="18"/>
        </w:rPr>
        <w:t>债券借贷</w:t>
      </w:r>
      <w:r>
        <w:rPr>
          <w:rFonts w:hint="eastAsia"/>
          <w:sz w:val="18"/>
          <w:szCs w:val="18"/>
        </w:rPr>
        <w:t>，及其他符合监管要求的投资标的和资产组合。与交易对手开展买入返售交易的，可接受押品的资质要求应该符合本产品说明书关于投资范围的约定。本产品的收益主要来源于理财资金所投资资产的投资回报。投资者按其认购金额占该理财产品项下所有认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、投资比例</w:t>
      </w:r>
    </w:p>
    <w:tbl>
      <w:tblPr>
        <w:tblStyle w:val="9"/>
        <w:tblW w:w="0" w:type="auto"/>
        <w:jc w:val="center"/>
        <w:tblLayout w:type="fixed"/>
        <w:tblCellMar>
          <w:top w:w="0" w:type="dxa"/>
          <w:left w:w="108" w:type="dxa"/>
          <w:bottom w:w="0" w:type="dxa"/>
          <w:right w:w="108" w:type="dxa"/>
        </w:tblCellMar>
      </w:tblPr>
      <w:tblGrid>
        <w:gridCol w:w="2203"/>
        <w:gridCol w:w="5494"/>
        <w:gridCol w:w="1703"/>
      </w:tblGrid>
      <w:tr>
        <w:tblPrEx>
          <w:tblCellMar>
            <w:top w:w="0" w:type="dxa"/>
            <w:left w:w="108" w:type="dxa"/>
            <w:bottom w:w="0" w:type="dxa"/>
            <w:right w:w="108" w:type="dxa"/>
          </w:tblCellMar>
        </w:tblPrEx>
        <w:trPr>
          <w:trHeight w:val="270" w:hRule="atLeast"/>
          <w:jc w:val="center"/>
        </w:trPr>
        <w:tc>
          <w:tcPr>
            <w:tcW w:w="2203"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资产类别</w:t>
            </w:r>
          </w:p>
        </w:tc>
        <w:tc>
          <w:tcPr>
            <w:tcW w:w="5494"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投资比例</w:t>
            </w:r>
          </w:p>
        </w:tc>
      </w:tr>
      <w:tr>
        <w:tblPrEx>
          <w:tblCellMar>
            <w:top w:w="0" w:type="dxa"/>
            <w:left w:w="108" w:type="dxa"/>
            <w:bottom w:w="0" w:type="dxa"/>
            <w:right w:w="108" w:type="dxa"/>
          </w:tblCellMar>
        </w:tblPrEx>
        <w:trPr>
          <w:trHeight w:val="270" w:hRule="atLeast"/>
          <w:jc w:val="center"/>
        </w:trPr>
        <w:tc>
          <w:tcPr>
            <w:tcW w:w="2203"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kern w:val="0"/>
                <w:sz w:val="18"/>
                <w:szCs w:val="18"/>
              </w:rPr>
            </w:pPr>
            <w:r>
              <w:rPr>
                <w:rFonts w:hint="eastAsia" w:ascii="宋体" w:hAnsi="宋体" w:cs="宋体"/>
                <w:kern w:val="0"/>
                <w:sz w:val="18"/>
                <w:szCs w:val="18"/>
              </w:rPr>
              <w:t>债权类资产</w:t>
            </w:r>
          </w:p>
        </w:tc>
        <w:tc>
          <w:tcPr>
            <w:tcW w:w="5494"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80-100%</w:t>
            </w:r>
          </w:p>
        </w:tc>
      </w:tr>
      <w:tr>
        <w:tblPrEx>
          <w:tblCellMar>
            <w:top w:w="0" w:type="dxa"/>
            <w:left w:w="108" w:type="dxa"/>
            <w:bottom w:w="0" w:type="dxa"/>
            <w:right w:w="108" w:type="dxa"/>
          </w:tblCellMar>
        </w:tblPrEx>
        <w:trPr>
          <w:trHeight w:val="270" w:hRule="atLeast"/>
          <w:jc w:val="center"/>
        </w:trPr>
        <w:tc>
          <w:tcPr>
            <w:tcW w:w="2203"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kern w:val="0"/>
                <w:sz w:val="18"/>
                <w:szCs w:val="18"/>
              </w:rPr>
            </w:pPr>
          </w:p>
        </w:tc>
        <w:tc>
          <w:tcPr>
            <w:tcW w:w="5494"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203"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kern w:val="0"/>
                <w:sz w:val="18"/>
                <w:szCs w:val="18"/>
              </w:rPr>
            </w:pPr>
          </w:p>
        </w:tc>
        <w:tc>
          <w:tcPr>
            <w:tcW w:w="5494"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203"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权益类资产</w:t>
            </w:r>
          </w:p>
        </w:tc>
        <w:tc>
          <w:tcPr>
            <w:tcW w:w="5494"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股票型基金、证券投资基金</w:t>
            </w:r>
            <w:r>
              <w:rPr>
                <w:rFonts w:hint="eastAsia"/>
                <w:sz w:val="18"/>
                <w:szCs w:val="18"/>
              </w:rPr>
              <w:t>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w:t>
      </w:r>
      <w:r>
        <w:rPr>
          <w:sz w:val="18"/>
          <w:szCs w:val="18"/>
        </w:rPr>
        <w:t>20</w:t>
      </w:r>
      <w:r>
        <w:rPr>
          <w:rFonts w:hint="eastAsia"/>
          <w:sz w:val="18"/>
          <w:szCs w:val="18"/>
        </w:rPr>
        <w:t>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本产品采用安全性和流动性优先、追求适度收益的投资策略。本理财产品计划将不低于7</w:t>
      </w:r>
      <w:r>
        <w:rPr>
          <w:sz w:val="18"/>
          <w:szCs w:val="18"/>
        </w:rPr>
        <w:t>0</w:t>
      </w:r>
      <w:r>
        <w:rPr>
          <w:rFonts w:hint="eastAsia"/>
          <w:sz w:val="18"/>
          <w:szCs w:val="18"/>
        </w:rPr>
        <w:t>%的债权类资产投资于浙江省内优质资产，助力浙江高质量发展建设共同富裕示范区。</w:t>
      </w:r>
    </w:p>
    <w:p>
      <w:pPr>
        <w:adjustRightInd w:val="0"/>
        <w:snapToGrid w:val="0"/>
        <w:spacing w:line="286" w:lineRule="auto"/>
        <w:rPr>
          <w:sz w:val="18"/>
          <w:szCs w:val="18"/>
        </w:rPr>
      </w:pPr>
      <w:r>
        <w:rPr>
          <w:rFonts w:hint="eastAsia"/>
          <w:sz w:val="18"/>
          <w:szCs w:val="18"/>
        </w:rPr>
        <w:t>温州银行作为管理人将根据拟投资标的资产的特点进行投资管理，以寻求稳健、低风险的投资收益。</w:t>
      </w:r>
    </w:p>
    <w:p>
      <w:pPr>
        <w:adjustRightInd w:val="0"/>
        <w:snapToGrid w:val="0"/>
        <w:spacing w:line="286" w:lineRule="auto"/>
        <w:rPr>
          <w:b/>
          <w:sz w:val="18"/>
          <w:szCs w:val="18"/>
        </w:rPr>
      </w:pPr>
      <w:r>
        <w:rPr>
          <w:rFonts w:hint="eastAsia"/>
          <w:b/>
          <w:sz w:val="18"/>
          <w:szCs w:val="18"/>
        </w:rPr>
        <w:t>产品销售</w:t>
      </w:r>
    </w:p>
    <w:p>
      <w:pPr>
        <w:adjustRightInd w:val="0"/>
        <w:snapToGrid w:val="0"/>
        <w:spacing w:line="286"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本产品的托管人为招商</w:t>
      </w:r>
      <w:r>
        <w:rPr>
          <w:sz w:val="18"/>
          <w:szCs w:val="18"/>
        </w:rPr>
        <w:t>银行股份有限公司</w:t>
      </w:r>
      <w:r>
        <w:rPr>
          <w:rFonts w:hint="eastAsia"/>
          <w:sz w:val="18"/>
          <w:szCs w:val="18"/>
        </w:rPr>
        <w:t>宁波分行，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sz w:val="18"/>
          <w:szCs w:val="18"/>
        </w:rPr>
      </w:pPr>
      <w:r>
        <w:rPr>
          <w:rFonts w:hint="eastAsia"/>
          <w:b/>
          <w:bCs/>
          <w:sz w:val="18"/>
          <w:szCs w:val="18"/>
        </w:rPr>
        <w:t>投资合作机构</w:t>
      </w:r>
    </w:p>
    <w:p>
      <w:pPr>
        <w:adjustRightInd w:val="0"/>
        <w:snapToGrid w:val="0"/>
        <w:spacing w:line="278"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w:t>
      </w:r>
      <w:r>
        <w:rPr>
          <w:rFonts w:hint="eastAsia" w:ascii="宋体" w:hAnsi="宋体"/>
          <w:sz w:val="18"/>
          <w:szCs w:val="18"/>
        </w:rPr>
        <w:t>投资者可登录温州银行网站（</w:t>
      </w:r>
      <w:r>
        <w:fldChar w:fldCharType="begin"/>
      </w:r>
      <w:r>
        <w:instrText xml:space="preserve"> HYPERLINK "http://www.wzbank.cn" </w:instrText>
      </w:r>
      <w:r>
        <w:fldChar w:fldCharType="separate"/>
      </w:r>
      <w:r>
        <w:rPr>
          <w:rStyle w:val="21"/>
          <w:rFonts w:hint="eastAsia" w:ascii="宋体" w:hAnsi="宋体"/>
          <w:sz w:val="18"/>
          <w:szCs w:val="18"/>
        </w:rPr>
        <w:t>www.wzbank.cn</w:t>
      </w:r>
      <w:r>
        <w:rPr>
          <w:rStyle w:val="21"/>
          <w:rFonts w:hint="eastAsia" w:ascii="宋体" w:hAnsi="宋体"/>
          <w:sz w:val="18"/>
          <w:szCs w:val="18"/>
        </w:rPr>
        <w:fldChar w:fldCharType="end"/>
      </w:r>
      <w:r>
        <w:rPr>
          <w:rFonts w:hint="eastAsia" w:ascii="宋体" w:hAnsi="宋体"/>
          <w:sz w:val="18"/>
          <w:szCs w:val="18"/>
        </w:rPr>
        <w:t>）查询温州银行理财产品的投资合作机构名单。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b/>
          <w:bCs/>
          <w:sz w:val="18"/>
          <w:szCs w:val="18"/>
        </w:rPr>
      </w:pPr>
      <w:r>
        <w:rPr>
          <w:rFonts w:hint="eastAsia"/>
          <w:sz w:val="18"/>
          <w:szCs w:val="18"/>
        </w:rPr>
        <w:t xml:space="preserve">本理财产品估值日为每个证券交易所的交易日，投资管理人和理财托管人核对估值结果并至少每周向投资人披露一次资产净值和份额净值（如遇非工作日顺延至下一工作日，具体日期以温州银行公告为准）。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numPr>
          <w:ilvl w:val="0"/>
          <w:numId w:val="1"/>
        </w:numPr>
        <w:adjustRightInd w:val="0"/>
        <w:snapToGrid w:val="0"/>
        <w:spacing w:line="286" w:lineRule="auto"/>
        <w:rPr>
          <w:sz w:val="18"/>
          <w:szCs w:val="18"/>
        </w:rPr>
      </w:pPr>
      <w:r>
        <w:rPr>
          <w:rFonts w:hint="eastAsia"/>
          <w:sz w:val="18"/>
          <w:szCs w:val="18"/>
        </w:rPr>
        <w:t>理财产品投资所涉及的交易市场遇法定节假日或其他原因暂停营业时。</w:t>
      </w:r>
    </w:p>
    <w:p>
      <w:pPr>
        <w:adjustRightInd w:val="0"/>
        <w:snapToGrid w:val="0"/>
        <w:spacing w:line="286" w:lineRule="auto"/>
        <w:rPr>
          <w:b/>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b/>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b/>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b/>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sz w:val="18"/>
          <w:szCs w:val="18"/>
        </w:rPr>
        <w:t>1</w:t>
      </w:r>
      <w:r>
        <w:rPr>
          <w:rFonts w:hint="eastAsia"/>
          <w:sz w:val="18"/>
          <w:szCs w:val="18"/>
        </w:rPr>
        <w:t>、业绩比较基准</w:t>
      </w:r>
    </w:p>
    <w:p>
      <w:pPr>
        <w:adjustRightInd w:val="0"/>
        <w:snapToGrid w:val="0"/>
        <w:spacing w:line="286" w:lineRule="auto"/>
        <w:rPr>
          <w:sz w:val="18"/>
          <w:szCs w:val="18"/>
        </w:rPr>
      </w:pPr>
      <w:r>
        <w:rPr>
          <w:rFonts w:hint="eastAsia"/>
          <w:color w:val="000000"/>
          <w:sz w:val="18"/>
          <w:szCs w:val="18"/>
        </w:rPr>
        <w:t>本产品业绩比较基准为3.15%（年化）。本产品业绩比较基准仅作为计提产品浮动管理费的依据，不构成温州银行对该理财产品的任何收益承诺。</w:t>
      </w:r>
    </w:p>
    <w:p>
      <w:pPr>
        <w:adjustRightInd w:val="0"/>
        <w:snapToGrid w:val="0"/>
        <w:spacing w:line="286" w:lineRule="auto"/>
        <w:rPr>
          <w:sz w:val="18"/>
          <w:szCs w:val="18"/>
        </w:rPr>
      </w:pPr>
      <w:r>
        <w:rPr>
          <w:rFonts w:hint="eastAsia"/>
          <w:sz w:val="18"/>
          <w:szCs w:val="18"/>
        </w:rPr>
        <w:t>2、理财产品单位净值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理财产品单位净值为提取相关费用后的净值，客户按该单位净值进行产品到期终止清算时的分配。</w:t>
      </w:r>
    </w:p>
    <w:p>
      <w:pPr>
        <w:adjustRightInd w:val="0"/>
        <w:snapToGrid w:val="0"/>
        <w:spacing w:line="286" w:lineRule="auto"/>
        <w:rPr>
          <w:sz w:val="18"/>
          <w:szCs w:val="18"/>
        </w:rPr>
      </w:pPr>
      <w:r>
        <w:rPr>
          <w:rFonts w:hint="eastAsia"/>
          <w:sz w:val="18"/>
          <w:szCs w:val="18"/>
        </w:rPr>
        <w:t>3、认购</w:t>
      </w:r>
    </w:p>
    <w:p>
      <w:pPr>
        <w:adjustRightInd w:val="0"/>
        <w:snapToGrid w:val="0"/>
        <w:spacing w:line="286" w:lineRule="auto"/>
        <w:rPr>
          <w:sz w:val="18"/>
          <w:szCs w:val="18"/>
        </w:rPr>
      </w:pPr>
      <w:r>
        <w:rPr>
          <w:rFonts w:hint="eastAsia"/>
          <w:sz w:val="18"/>
          <w:szCs w:val="18"/>
        </w:rPr>
        <w:t>本产品认购期为</w:t>
      </w:r>
      <w:r>
        <w:rPr>
          <w:color w:val="000000"/>
          <w:sz w:val="18"/>
          <w:szCs w:val="18"/>
        </w:rPr>
        <w:t>2024年1月30日</w:t>
      </w:r>
      <w:r>
        <w:rPr>
          <w:rFonts w:hint="eastAsia"/>
          <w:sz w:val="18"/>
        </w:rPr>
        <w:t>至</w:t>
      </w:r>
      <w:r>
        <w:rPr>
          <w:color w:val="000000"/>
          <w:sz w:val="18"/>
        </w:rPr>
        <w:t>2024年2月5日</w:t>
      </w:r>
      <w:r>
        <w:rPr>
          <w:rFonts w:hint="eastAsia"/>
          <w:sz w:val="18"/>
          <w:szCs w:val="18"/>
        </w:rPr>
        <w:t>，认购份额=认购金额÷1元</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（1）发生以下情形，管理人可以决定是否拒绝或暂停接受全部或部分投资者的认购申请：</w:t>
      </w:r>
    </w:p>
    <w:p>
      <w:pPr>
        <w:adjustRightInd w:val="0"/>
        <w:snapToGrid w:val="0"/>
        <w:spacing w:line="286" w:lineRule="auto"/>
        <w:rPr>
          <w:sz w:val="18"/>
          <w:szCs w:val="18"/>
        </w:rPr>
      </w:pPr>
      <w:r>
        <w:rPr>
          <w:rFonts w:hint="eastAsia"/>
          <w:sz w:val="18"/>
          <w:szCs w:val="18"/>
        </w:rPr>
        <w:t>1）投资者认购超过产品说明书约定的发行规模上限、单笔认/申购上限、单一客户持有上限等。</w:t>
      </w:r>
    </w:p>
    <w:p>
      <w:pPr>
        <w:adjustRightInd w:val="0"/>
        <w:snapToGrid w:val="0"/>
        <w:spacing w:line="286" w:lineRule="auto"/>
        <w:rPr>
          <w:sz w:val="18"/>
          <w:szCs w:val="18"/>
        </w:rPr>
      </w:pPr>
      <w:r>
        <w:rPr>
          <w:rFonts w:hint="eastAsia"/>
          <w:sz w:val="18"/>
          <w:szCs w:val="18"/>
        </w:rPr>
        <w:t>2）当管理人接受某笔或者某些认购申请有可能导致单一投资者持有理财计划份额的比例达到或超过50%的情形。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3）法律法规规定或监管机构认定的其他情形。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当管理人决定暂定接受投资人认购申请时，将在3个交易日内告知投资者。若投资者的全部或部分认购申请被拒绝，被拒绝的认购款项本金将退还给投资者，管理人不承担投资者由此产生的利息损失。</w:t>
      </w:r>
    </w:p>
    <w:p>
      <w:pPr>
        <w:adjustRightInd w:val="0"/>
        <w:snapToGrid w:val="0"/>
        <w:spacing w:line="286" w:lineRule="auto"/>
        <w:rPr>
          <w:sz w:val="18"/>
          <w:szCs w:val="18"/>
        </w:rPr>
      </w:pPr>
      <w:r>
        <w:rPr>
          <w:rFonts w:hint="eastAsia"/>
          <w:sz w:val="18"/>
          <w:szCs w:val="18"/>
        </w:rPr>
        <w:t>4、终止（包括到期终止、提前终止、延期终止）</w:t>
      </w:r>
    </w:p>
    <w:p>
      <w:pPr>
        <w:adjustRightInd w:val="0"/>
        <w:snapToGrid w:val="0"/>
        <w:spacing w:line="286" w:lineRule="auto"/>
        <w:rPr>
          <w:sz w:val="18"/>
          <w:szCs w:val="18"/>
        </w:rPr>
      </w:pPr>
      <w:r>
        <w:rPr>
          <w:rFonts w:hint="eastAsia"/>
          <w:sz w:val="18"/>
          <w:szCs w:val="18"/>
        </w:rPr>
        <w:t>本产品预计到期终止日为</w:t>
      </w:r>
      <w:r>
        <w:rPr>
          <w:color w:val="000000"/>
          <w:sz w:val="18"/>
          <w:szCs w:val="18"/>
        </w:rPr>
        <w:t>2024年6月</w:t>
      </w:r>
      <w:r>
        <w:rPr>
          <w:rFonts w:hint="eastAsia"/>
          <w:color w:val="000000"/>
          <w:sz w:val="18"/>
          <w:szCs w:val="18"/>
        </w:rPr>
        <w:t>4</w:t>
      </w:r>
      <w:r>
        <w:rPr>
          <w:color w:val="000000"/>
          <w:sz w:val="18"/>
          <w:szCs w:val="18"/>
        </w:rPr>
        <w:t>日</w:t>
      </w:r>
      <w:r>
        <w:rPr>
          <w:rFonts w:hint="eastAsia"/>
          <w:sz w:val="18"/>
        </w:rPr>
        <w:t xml:space="preserve">，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 </w:t>
      </w:r>
    </w:p>
    <w:p>
      <w:pPr>
        <w:adjustRightInd w:val="0"/>
        <w:snapToGrid w:val="0"/>
        <w:spacing w:line="286" w:lineRule="auto"/>
        <w:rPr>
          <w:sz w:val="18"/>
          <w:szCs w:val="18"/>
        </w:rPr>
      </w:pPr>
      <w:r>
        <w:rPr>
          <w:rFonts w:hint="eastAsia"/>
          <w:sz w:val="18"/>
          <w:szCs w:val="18"/>
        </w:rPr>
        <w:t>5、相关费用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第一日托管费为第一日委托资产本金×托管费率÷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托管费原则上按日计提，逐日累计至到期日从理财计划财产中扣除。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投资管理人根据理财计划投资情况计算浮动管理费，扣除托管费、固定管理费（如有）、销售费用及其他费用（如有）后，本理财产品到期日（提前/延期终止日）的折合年化收益率超过业绩比较基准的部分管理人提取8</w:t>
      </w:r>
      <w:r>
        <w:rPr>
          <w:sz w:val="18"/>
          <w:szCs w:val="18"/>
        </w:rPr>
        <w:t>0</w:t>
      </w:r>
      <w:r>
        <w:rPr>
          <w:rFonts w:hint="eastAsia"/>
          <w:sz w:val="18"/>
          <w:szCs w:val="18"/>
        </w:rPr>
        <w:t>%作为浮动管理费；本理财产品到期日（提前/延期终止日）的折合年化收益率若小于或等于业绩比较基准则不收取浮动管理费。</w:t>
      </w:r>
    </w:p>
    <w:p>
      <w:pPr>
        <w:adjustRightInd w:val="0"/>
        <w:snapToGrid w:val="0"/>
        <w:spacing w:line="286" w:lineRule="auto"/>
        <w:rPr>
          <w:sz w:val="18"/>
          <w:szCs w:val="18"/>
        </w:rPr>
      </w:pPr>
      <w:r>
        <w:rPr>
          <w:rFonts w:hint="eastAsia"/>
          <w:sz w:val="18"/>
          <w:szCs w:val="18"/>
        </w:rPr>
        <w:t>（4）其他费用（如有）：交易费用（包括但不限于交易佣金、撮合费用等）、理财计划估值服务费、理财计划验资费、审计费、律师费、信息披露费、清算费、执行费用等相关费用，具体以实际发生为准从理财产品中列支。</w:t>
      </w:r>
    </w:p>
    <w:p>
      <w:pPr>
        <w:adjustRightInd w:val="0"/>
        <w:snapToGrid w:val="0"/>
        <w:spacing w:line="286" w:lineRule="auto"/>
        <w:rPr>
          <w:sz w:val="18"/>
          <w:szCs w:val="18"/>
        </w:rPr>
      </w:pPr>
      <w:r>
        <w:rPr>
          <w:rFonts w:hint="eastAsia"/>
          <w:sz w:val="18"/>
          <w:szCs w:val="18"/>
        </w:rPr>
        <w:t>6、投资者所得收益</w:t>
      </w:r>
    </w:p>
    <w:p>
      <w:pPr>
        <w:adjustRightInd w:val="0"/>
        <w:snapToGrid w:val="0"/>
        <w:spacing w:line="286" w:lineRule="auto"/>
        <w:rPr>
          <w:sz w:val="18"/>
          <w:szCs w:val="18"/>
        </w:rPr>
      </w:pPr>
      <w:r>
        <w:rPr>
          <w:rFonts w:hint="eastAsia"/>
          <w:sz w:val="18"/>
          <w:szCs w:val="18"/>
        </w:rPr>
        <w:t>（1）计算公式</w:t>
      </w:r>
    </w:p>
    <w:p>
      <w:pPr>
        <w:adjustRightInd w:val="0"/>
        <w:snapToGrid w:val="0"/>
        <w:spacing w:line="286" w:lineRule="auto"/>
        <w:rPr>
          <w:sz w:val="18"/>
          <w:szCs w:val="18"/>
        </w:rPr>
      </w:pPr>
      <w:r>
        <w:rPr>
          <w:rFonts w:hint="eastAsia"/>
          <w:sz w:val="18"/>
          <w:szCs w:val="18"/>
        </w:rPr>
        <w:t>投资者理财收益＝认购份额×到期日（提前/延期终止日）理财产品单位净值（扣除浮动管理费后）—认购金额。</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）计算示例</w:t>
      </w:r>
    </w:p>
    <w:p>
      <w:pPr>
        <w:adjustRightInd w:val="0"/>
        <w:snapToGrid w:val="0"/>
        <w:spacing w:line="286" w:lineRule="auto"/>
        <w:rPr>
          <w:sz w:val="18"/>
          <w:szCs w:val="18"/>
        </w:rPr>
      </w:pPr>
      <w:r>
        <w:rPr>
          <w:rFonts w:hint="eastAsia"/>
          <w:sz w:val="18"/>
          <w:szCs w:val="18"/>
        </w:rPr>
        <w:t>示例一：扣除托管费、销售服务费、固定管理费（如有）及其他费用（如有）后，投资收益率超越业绩比较基准。</w:t>
      </w:r>
    </w:p>
    <w:p>
      <w:pPr>
        <w:adjustRightInd w:val="0"/>
        <w:snapToGrid w:val="0"/>
        <w:spacing w:line="286" w:lineRule="auto"/>
        <w:rPr>
          <w:sz w:val="18"/>
          <w:szCs w:val="18"/>
        </w:rPr>
      </w:pPr>
      <w:r>
        <w:rPr>
          <w:rFonts w:hint="eastAsia"/>
          <w:sz w:val="18"/>
          <w:szCs w:val="18"/>
        </w:rPr>
        <w:t>以某客户投资100万元为例，购买时产品净值为1.00元，折算份额为1,000,000.00份,理财期限为119天。假设产品业绩比较基准为3.15%。到期时扣除托管费、销售服务费、固定管理费及其他费用（如有）后，如产品净值为1.012，此时，(1.012/1.00-1)×365/119=3.68%&gt;3.15%，即投资收益超越业绩比较基准，则投资管理人对超过业绩比较基准部分收益收取浮动管理费，浮动管理费为：1,000,000.00×[1.012-1.00×(1+3.15%×119/365)]×80%=1384.11（元）。扣除浮动管理费后，客户最终收益为：1,000,000.00×（1.012-1.00）-1384.11=10615.89（元），产品到期时，客户获得的实际收益相当于达到年化收益率水平为：10615.89/1,000,000.00×365/119=3.26%。</w:t>
      </w:r>
    </w:p>
    <w:p>
      <w:pPr>
        <w:adjustRightInd w:val="0"/>
        <w:snapToGrid w:val="0"/>
        <w:spacing w:line="286" w:lineRule="auto"/>
        <w:rPr>
          <w:sz w:val="18"/>
          <w:szCs w:val="18"/>
        </w:rPr>
      </w:pPr>
      <w:r>
        <w:rPr>
          <w:rFonts w:hint="eastAsia"/>
          <w:sz w:val="18"/>
          <w:szCs w:val="18"/>
        </w:rPr>
        <w:t>示例二：扣除托管费、销售服务费、固定管理费（如有）及其他费用（如有）后，投资收益率未达到业绩比较基准。</w:t>
      </w:r>
    </w:p>
    <w:p>
      <w:pPr>
        <w:adjustRightInd w:val="0"/>
        <w:snapToGrid w:val="0"/>
        <w:spacing w:line="286" w:lineRule="auto"/>
        <w:rPr>
          <w:sz w:val="18"/>
          <w:szCs w:val="18"/>
        </w:rPr>
      </w:pPr>
      <w:r>
        <w:rPr>
          <w:rFonts w:hint="eastAsia"/>
          <w:sz w:val="18"/>
          <w:szCs w:val="18"/>
        </w:rPr>
        <w:t>以某客户投资100万元为例，购买时产品净值为1.00元，折算份额为1,000,000.00份,理财期限为119天。假设产品业绩比较基准为3.15%。到期时扣除托管费、销售服务费、固定管理费及其他费用（如有）后，如产品净值为1.01，此时，(1.01/1.00-1)×365/119=3.07%&lt;3.15%，即投资收益未达到业绩比较基准，则投资管理人不收取浮动管理费，客户最终收益为：1,000,000.00×(1.01-1.00）=10000（元）。</w:t>
      </w:r>
    </w:p>
    <w:p>
      <w:pPr>
        <w:adjustRightInd w:val="0"/>
        <w:snapToGrid w:val="0"/>
        <w:spacing w:line="286" w:lineRule="auto"/>
        <w:rPr>
          <w:sz w:val="18"/>
          <w:szCs w:val="18"/>
        </w:rPr>
      </w:pPr>
      <w:r>
        <w:rPr>
          <w:rFonts w:hint="eastAsia"/>
          <w:sz w:val="18"/>
          <w:szCs w:val="18"/>
        </w:rPr>
        <w:t>示例三：最不利情况，扣除托管费、销售服务费、固定管理费（如有）及其他费用（如有）后，投资发生亏损。</w:t>
      </w:r>
    </w:p>
    <w:p>
      <w:pPr>
        <w:adjustRightInd w:val="0"/>
        <w:snapToGrid w:val="0"/>
        <w:spacing w:line="286" w:lineRule="auto"/>
        <w:rPr>
          <w:sz w:val="18"/>
          <w:szCs w:val="18"/>
        </w:rPr>
      </w:pPr>
      <w:r>
        <w:rPr>
          <w:rFonts w:hint="eastAsia"/>
          <w:sz w:val="18"/>
          <w:szCs w:val="18"/>
        </w:rPr>
        <w:t>以某客户投资100万元为例，购买时产品净值为1.00元，折算份额为1,000,000.00份，理财期限为119天。假设产品业绩比较基准为3.15%，到期时扣除托管费、销售服务费、固定管理费及其他费用（如有）后，如产品净值为0.998，则投资管理人不收取浮动管理费，客户最终收益为：1,000,000.00×（0.998-1.00）=-2000.00（元）。</w:t>
      </w:r>
    </w:p>
    <w:p>
      <w:pPr>
        <w:adjustRightInd w:val="0"/>
        <w:snapToGrid w:val="0"/>
        <w:spacing w:line="286" w:lineRule="auto"/>
        <w:rPr>
          <w:sz w:val="18"/>
          <w:szCs w:val="18"/>
        </w:rPr>
      </w:pPr>
      <w:r>
        <w:rPr>
          <w:rFonts w:hint="eastAsia"/>
          <w:sz w:val="18"/>
          <w:szCs w:val="18"/>
        </w:rPr>
        <w:t>7、本金及理财收益风险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w:t>
      </w:r>
      <w:r>
        <w:rPr>
          <w:rFonts w:hint="eastAsia" w:ascii="宋体" w:hAnsi="宋体"/>
          <w:sz w:val="18"/>
          <w:szCs w:val="18"/>
        </w:rPr>
        <w:t>、资本市场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8、理财计划提前终止时投资者所得收益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本金及理财收益支付</w:t>
      </w:r>
    </w:p>
    <w:p>
      <w:pPr>
        <w:numPr>
          <w:ilvl w:val="0"/>
          <w:numId w:val="2"/>
        </w:numPr>
        <w:adjustRightInd w:val="0"/>
        <w:snapToGrid w:val="0"/>
        <w:spacing w:line="286" w:lineRule="auto"/>
        <w:rPr>
          <w:sz w:val="18"/>
          <w:szCs w:val="18"/>
        </w:rPr>
      </w:pPr>
      <w:r>
        <w:rPr>
          <w:rFonts w:hint="eastAsia"/>
          <w:sz w:val="18"/>
          <w:szCs w:val="18"/>
        </w:rPr>
        <w:t>投资者持有本理财计划期间及到期时，温州银行不承诺保证本金安全且不保证理财收益，投资者在到期日的应得收益（如有）随投资盈亏水平浮动。</w:t>
      </w:r>
    </w:p>
    <w:p>
      <w:pPr>
        <w:numPr>
          <w:ilvl w:val="0"/>
          <w:numId w:val="2"/>
        </w:numPr>
        <w:adjustRightInd w:val="0"/>
        <w:snapToGrid w:val="0"/>
        <w:spacing w:line="286" w:lineRule="auto"/>
        <w:rPr>
          <w:sz w:val="18"/>
          <w:szCs w:val="18"/>
        </w:rPr>
      </w:pPr>
      <w:r>
        <w:rPr>
          <w:rFonts w:hint="eastAsia"/>
          <w:sz w:val="18"/>
          <w:szCs w:val="18"/>
        </w:rPr>
        <w:t>理财期满，</w:t>
      </w:r>
      <w:r>
        <w:rPr>
          <w:sz w:val="18"/>
          <w:szCs w:val="18"/>
        </w:rPr>
        <w:t>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温州银行在到期日后</w:t>
      </w:r>
      <w:r>
        <w:rPr>
          <w:sz w:val="18"/>
          <w:szCs w:val="18"/>
        </w:rPr>
        <w:t>1</w:t>
      </w:r>
      <w:r>
        <w:rPr>
          <w:rFonts w:hint="eastAsia"/>
          <w:sz w:val="18"/>
          <w:szCs w:val="18"/>
        </w:rPr>
        <w:t>个工作日内对理财计划进行清算，并向托管人出具清算指令，托管人收到清算指令后将理财本金及理财收益划转至温州银行。温州银行在收到理财本金及理财收益后</w:t>
      </w:r>
      <w:r>
        <w:rPr>
          <w:sz w:val="18"/>
          <w:szCs w:val="18"/>
        </w:rPr>
        <w:t>1</w:t>
      </w:r>
      <w:r>
        <w:rPr>
          <w:rFonts w:hint="eastAsia"/>
          <w:sz w:val="18"/>
          <w:szCs w:val="18"/>
        </w:rPr>
        <w:t>个工作日内将投资者理财本金和应得收益划转至投资者指定资金账户。（上述自到期日到投资者收到理财本金和应得收益的过程一般情况下在</w:t>
      </w:r>
      <w:r>
        <w:rPr>
          <w:sz w:val="18"/>
          <w:szCs w:val="18"/>
        </w:rPr>
        <w:t>3</w:t>
      </w:r>
      <w:r>
        <w:rPr>
          <w:rFonts w:hint="eastAsia"/>
          <w:sz w:val="18"/>
          <w:szCs w:val="18"/>
        </w:rPr>
        <w:t>个工作日之内。）</w:t>
      </w:r>
    </w:p>
    <w:p>
      <w:pPr>
        <w:numPr>
          <w:ilvl w:val="0"/>
          <w:numId w:val="2"/>
        </w:numPr>
        <w:adjustRightInd w:val="0"/>
        <w:snapToGrid w:val="0"/>
        <w:spacing w:line="286" w:lineRule="auto"/>
        <w:rPr>
          <w:sz w:val="18"/>
          <w:szCs w:val="18"/>
        </w:rPr>
      </w:pPr>
      <w:r>
        <w:rPr>
          <w:rFonts w:hint="eastAsia"/>
          <w:sz w:val="18"/>
          <w:szCs w:val="18"/>
        </w:rPr>
        <w:t>理财期满，如理财计划项下资产不能全部变现，则温州银行将现金类资产扣除应由理财计划承担的费用、税款（如有）后向投资者分配。对于未变现资产部分，温州银行以投资者利益最大化的原则，寻求未变现资产变现方式，在剩余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numPr>
          <w:ilvl w:val="0"/>
          <w:numId w:val="2"/>
        </w:numPr>
        <w:adjustRightInd w:val="0"/>
        <w:snapToGrid w:val="0"/>
        <w:spacing w:line="286" w:lineRule="auto"/>
        <w:rPr>
          <w:sz w:val="18"/>
          <w:szCs w:val="18"/>
        </w:rPr>
      </w:pPr>
      <w:r>
        <w:rPr>
          <w:rFonts w:hint="eastAsia"/>
          <w:sz w:val="18"/>
          <w:szCs w:val="18"/>
        </w:rPr>
        <w:t>如果温州银行提前终止理财计划，理财到期日也相应提前到理财计划实际终止日。</w:t>
      </w:r>
    </w:p>
    <w:p>
      <w:pPr>
        <w:adjustRightInd w:val="0"/>
        <w:snapToGrid w:val="0"/>
        <w:spacing w:line="286" w:lineRule="auto"/>
        <w:rPr>
          <w:b/>
          <w:sz w:val="18"/>
          <w:szCs w:val="18"/>
        </w:rPr>
      </w:pPr>
      <w:r>
        <w:rPr>
          <w:rFonts w:hint="eastAsia"/>
          <w:b/>
          <w:sz w:val="18"/>
          <w:szCs w:val="18"/>
        </w:rPr>
        <w:t>税费规定</w:t>
      </w:r>
    </w:p>
    <w:p>
      <w:pPr>
        <w:widowControl/>
        <w:adjustRightInd w:val="0"/>
        <w:snapToGrid w:val="0"/>
        <w:spacing w:line="286" w:lineRule="auto"/>
        <w:outlineLvl w:val="0"/>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浮动收益理财计划，不保证本金及收益。理财计划本金及收益到期分配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资金需求、履行其他支付义务的风险。</w:t>
      </w:r>
      <w:r>
        <w:rPr>
          <w:rFonts w:hint="eastAsia"/>
          <w:b/>
          <w:bCs/>
          <w:sz w:val="18"/>
          <w:szCs w:val="18"/>
          <w:u w:val="single"/>
        </w:rPr>
        <w:t>本理财计划在存续期内投资者不得提前赎回</w:t>
      </w:r>
      <w:r>
        <w:rPr>
          <w:rFonts w:hint="eastAsia"/>
          <w:sz w:val="18"/>
          <w:szCs w:val="18"/>
        </w:rPr>
        <w:t>，可能影响投资者的资金安排，带来流动性风险。</w:t>
      </w:r>
    </w:p>
    <w:p>
      <w:pPr>
        <w:adjustRightInd w:val="0"/>
        <w:snapToGrid w:val="0"/>
        <w:spacing w:line="286" w:lineRule="auto"/>
        <w:rPr>
          <w:sz w:val="18"/>
          <w:szCs w:val="18"/>
        </w:rPr>
      </w:pPr>
      <w:r>
        <w:rPr>
          <w:sz w:val="18"/>
          <w:szCs w:val="18"/>
        </w:rPr>
        <w:t>5</w:t>
      </w:r>
      <w:r>
        <w:rPr>
          <w:rFonts w:hint="eastAsia"/>
          <w:sz w:val="18"/>
          <w:szCs w:val="18"/>
        </w:rPr>
        <w:t>、市场风险：</w:t>
      </w:r>
      <w:r>
        <w:rPr>
          <w:sz w:val="18"/>
          <w:szCs w:val="18"/>
        </w:rPr>
        <w:t>指由于债券市场</w:t>
      </w:r>
      <w:r>
        <w:rPr>
          <w:rFonts w:hint="eastAsia"/>
          <w:sz w:val="18"/>
          <w:szCs w:val="18"/>
        </w:rPr>
        <w:t>或资本市场</w:t>
      </w:r>
      <w:r>
        <w:rPr>
          <w:sz w:val="18"/>
          <w:szCs w:val="18"/>
        </w:rPr>
        <w:t>变化或波动所引起的资产损失的可能性。宏观经济运行的周期性，财政政策、货币政策等国家政策的变动，以及政府对证券市场的监管政策的变化等因素都会对债券市场</w:t>
      </w:r>
      <w:r>
        <w:rPr>
          <w:rFonts w:hint="eastAsia"/>
          <w:sz w:val="18"/>
          <w:szCs w:val="18"/>
        </w:rPr>
        <w:t>或证券市场</w:t>
      </w:r>
      <w:r>
        <w:rPr>
          <w:sz w:val="18"/>
          <w:szCs w:val="18"/>
        </w:rPr>
        <w:t>造成不同程度的影响，从而产生市场风险。</w:t>
      </w:r>
      <w:r>
        <w:rPr>
          <w:rFonts w:hint="eastAsia"/>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rFonts w:hint="eastAsia"/>
          <w:sz w:val="18"/>
          <w:szCs w:val="18"/>
        </w:rPr>
        <w:t>6、延期风险</w:t>
      </w:r>
      <w:r>
        <w:rPr>
          <w:rFonts w:hint="eastAsia" w:ascii="宋体" w:hAnsi="宋体"/>
          <w:sz w:val="18"/>
          <w:szCs w:val="18"/>
        </w:rPr>
        <w:t>：如因理财计划所投资的标的资产因信用风险、市场风险等原因造成理财计划不能按时兑付，理财期限将相应延长。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8"/>
        <w:adjustRightInd w:val="0"/>
        <w:snapToGrid w:val="0"/>
        <w:spacing w:line="286" w:lineRule="auto"/>
        <w:ind w:firstLine="0"/>
        <w:rPr>
          <w:rFonts w:ascii="宋体" w:hAnsi="宋体"/>
          <w:sz w:val="18"/>
          <w:szCs w:val="18"/>
        </w:rPr>
      </w:pPr>
      <w:r>
        <w:rPr>
          <w:rFonts w:hint="eastAsia" w:ascii="宋体" w:hAnsi="宋体"/>
          <w:sz w:val="18"/>
          <w:szCs w:val="18"/>
        </w:rPr>
        <w:t>9、利率风险：本理财产品在实际投资运作过程中，由于利率市场出现巨大变化造成本理财产品所投资产价格发生波动，从而影响理财产品投资收益的，投资者的本金和收益可能遭受部分或全部损失。</w:t>
      </w:r>
    </w:p>
    <w:p>
      <w:pPr>
        <w:pStyle w:val="18"/>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b/>
          <w:sz w:val="18"/>
          <w:szCs w:val="18"/>
        </w:rPr>
      </w:pPr>
      <w:r>
        <w:rPr>
          <w:rFonts w:hint="eastAsia"/>
          <w:b/>
          <w:sz w:val="18"/>
          <w:szCs w:val="18"/>
        </w:rPr>
        <w:t>（1）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sz w:val="18"/>
          <w:szCs w:val="18"/>
        </w:rPr>
      </w:pPr>
      <w:r>
        <w:rPr>
          <w:rFonts w:hint="eastAsia"/>
          <w:sz w:val="18"/>
          <w:szCs w:val="18"/>
        </w:rPr>
        <w:t>（2）管理人将在运用暂停认购、暂停理财产品估值等措施后，3个交易日内发布相关事项公告，说明运用相关措施的原因、拟采取的应对安排等。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86" w:lineRule="auto"/>
        <w:rPr>
          <w:b/>
          <w:bCs/>
          <w:sz w:val="18"/>
          <w:szCs w:val="18"/>
        </w:rPr>
      </w:pPr>
      <w:r>
        <w:rPr>
          <w:rFonts w:hint="eastAsia"/>
          <w:b/>
          <w:bCs/>
          <w:sz w:val="18"/>
          <w:szCs w:val="18"/>
        </w:rPr>
        <w:t>投资者信息管理</w:t>
      </w:r>
    </w:p>
    <w:p>
      <w:pPr>
        <w:adjustRightInd w:val="0"/>
        <w:snapToGrid w:val="0"/>
        <w:spacing w:line="286" w:lineRule="auto"/>
        <w:rPr>
          <w:sz w:val="18"/>
          <w:szCs w:val="18"/>
        </w:rPr>
      </w:pPr>
      <w:r>
        <w:rPr>
          <w:rFonts w:hint="eastAsia"/>
          <w:sz w:val="18"/>
          <w:szCs w:val="18"/>
        </w:rPr>
        <w:t>温州银行对投资者所签署理财相关协议及其条款负有保密义务。温州银行将依据相关法律、法规严格履行投资者信息保密责任，除监管机构或司法机关等有权机构外，不得对其他第三方商业机构提供投资者信息。</w:t>
      </w:r>
    </w:p>
    <w:p>
      <w:pPr>
        <w:adjustRightInd w:val="0"/>
        <w:snapToGrid w:val="0"/>
        <w:spacing w:line="286" w:lineRule="auto"/>
        <w:rPr>
          <w:b/>
          <w:sz w:val="18"/>
          <w:szCs w:val="18"/>
        </w:rPr>
      </w:pPr>
      <w:r>
        <w:rPr>
          <w:rFonts w:hint="eastAsia"/>
          <w:b/>
          <w:sz w:val="18"/>
          <w:szCs w:val="18"/>
        </w:rPr>
        <w:t>产品认购</w:t>
      </w:r>
    </w:p>
    <w:p>
      <w:pPr>
        <w:adjustRightInd w:val="0"/>
        <w:snapToGrid w:val="0"/>
        <w:spacing w:line="286" w:lineRule="auto"/>
        <w:rPr>
          <w:sz w:val="18"/>
          <w:szCs w:val="18"/>
        </w:rPr>
      </w:pPr>
      <w:r>
        <w:rPr>
          <w:sz w:val="18"/>
          <w:szCs w:val="18"/>
        </w:rPr>
        <w:t>1</w:t>
      </w:r>
      <w:r>
        <w:rPr>
          <w:rFonts w:hint="eastAsia"/>
          <w:sz w:val="18"/>
          <w:szCs w:val="18"/>
        </w:rPr>
        <w:t>、认购手续：在产品认购期内，个人投资者请带本人身份证原件及复印件、温州银行借记卡等到银行营业网点或登录温州银行电子渠道办理。</w:t>
      </w:r>
      <w:r>
        <w:rPr>
          <w:rFonts w:hint="eastAsia" w:ascii="宋体" w:cs="宋体"/>
          <w:kern w:val="0"/>
          <w:sz w:val="18"/>
          <w:szCs w:val="18"/>
          <w:lang w:val="zh-CN"/>
        </w:rPr>
        <w:t>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开始日，温州银行将按照投资者签署的理财计划合约中约定的认购金额从投资者资金账户中进行资金扣划，扣划前不做电话确认，无需客户另行授权。请投资者确保您的资金账户状态正常，如因资金账户状态异常而无法在理财开始日实现资金扣划，相应认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普惠季享”24001号（共同富裕特别款）银行理财计划风险揭示书》、《温州银行“金鹿理财”银行理财计划合约》和《温州银行理财产品投资者权益须知》等销售文件中的内容与本产品说明书不一致的，以本产品说明书约定的内容为准。</w:t>
      </w:r>
    </w:p>
    <w:p>
      <w:pPr>
        <w:spacing w:before="312" w:beforeLines="100" w:line="288" w:lineRule="auto"/>
        <w:rPr>
          <w:rFonts w:ascii="宋体" w:hAnsi="宋体"/>
          <w:szCs w:val="21"/>
        </w:rPr>
      </w:pPr>
      <w:r>
        <w:rPr>
          <w:rFonts w:hint="eastAsia" w:ascii="宋体" w:hAnsi="宋体"/>
          <w:szCs w:val="21"/>
        </w:rPr>
        <w:t xml:space="preserve">         投资者签章：                                 日期：</w:t>
      </w:r>
    </w:p>
    <w:p>
      <w:pPr>
        <w:pStyle w:val="3"/>
        <w:rPr>
          <w:rFonts w:hAnsi="宋体" w:cs="宋体"/>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9</w:t>
    </w:r>
    <w:r>
      <w:rPr>
        <w:b/>
        <w:sz w:val="24"/>
        <w:szCs w:val="24"/>
      </w:rPr>
      <w:fldChar w:fldCharType="end"/>
    </w:r>
  </w:p>
  <w:p>
    <w:pPr>
      <w:pStyle w:val="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AF9267"/>
    <w:multiLevelType w:val="singleLevel"/>
    <w:tmpl w:val="CFAF9267"/>
    <w:lvl w:ilvl="0" w:tentative="0">
      <w:start w:val="1"/>
      <w:numFmt w:val="decimal"/>
      <w:suff w:val="nothing"/>
      <w:lvlText w:val="%1、"/>
      <w:lvlJc w:val="left"/>
    </w:lvl>
  </w:abstractNum>
  <w:abstractNum w:abstractNumId="1">
    <w:nsid w:val="10D8C1A8"/>
    <w:multiLevelType w:val="singleLevel"/>
    <w:tmpl w:val="10D8C1A8"/>
    <w:lvl w:ilvl="0" w:tentative="0">
      <w:start w:val="1"/>
      <w:numFmt w:val="decimal"/>
      <w:lvlText w:val="%1."/>
      <w:lvlJc w:val="left"/>
      <w:pPr>
        <w:tabs>
          <w:tab w:val="left" w:pos="312"/>
        </w:tabs>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ODaHBMCSKrSmowTCENPseRQR3jY=" w:salt="4DlgBRrbDXwhoPrMRnFQ0Q=="/>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15E2"/>
    <w:rsid w:val="0003008C"/>
    <w:rsid w:val="000306F8"/>
    <w:rsid w:val="00040175"/>
    <w:rsid w:val="0008627F"/>
    <w:rsid w:val="000D7B26"/>
    <w:rsid w:val="00167A3A"/>
    <w:rsid w:val="0018605A"/>
    <w:rsid w:val="00193A6B"/>
    <w:rsid w:val="001A0A54"/>
    <w:rsid w:val="001D7791"/>
    <w:rsid w:val="00203720"/>
    <w:rsid w:val="0021703D"/>
    <w:rsid w:val="00232935"/>
    <w:rsid w:val="0026075F"/>
    <w:rsid w:val="002C0BA1"/>
    <w:rsid w:val="002D7A72"/>
    <w:rsid w:val="00314FC3"/>
    <w:rsid w:val="0035671B"/>
    <w:rsid w:val="00385222"/>
    <w:rsid w:val="003B0256"/>
    <w:rsid w:val="003B62E1"/>
    <w:rsid w:val="003F5708"/>
    <w:rsid w:val="004344AA"/>
    <w:rsid w:val="00437A63"/>
    <w:rsid w:val="00450A70"/>
    <w:rsid w:val="004813F0"/>
    <w:rsid w:val="0048415F"/>
    <w:rsid w:val="004E13C1"/>
    <w:rsid w:val="004E1DA8"/>
    <w:rsid w:val="0052217B"/>
    <w:rsid w:val="0055724A"/>
    <w:rsid w:val="005A1716"/>
    <w:rsid w:val="005B73A6"/>
    <w:rsid w:val="005D4428"/>
    <w:rsid w:val="00617ABD"/>
    <w:rsid w:val="00633DBA"/>
    <w:rsid w:val="00693A8D"/>
    <w:rsid w:val="006E13FD"/>
    <w:rsid w:val="00766CF2"/>
    <w:rsid w:val="0078088F"/>
    <w:rsid w:val="007828DA"/>
    <w:rsid w:val="007A7805"/>
    <w:rsid w:val="007D3753"/>
    <w:rsid w:val="007D7937"/>
    <w:rsid w:val="00832709"/>
    <w:rsid w:val="00866A5E"/>
    <w:rsid w:val="00893FC3"/>
    <w:rsid w:val="008D04F3"/>
    <w:rsid w:val="009115E2"/>
    <w:rsid w:val="00921AA3"/>
    <w:rsid w:val="009E3776"/>
    <w:rsid w:val="00A31BAB"/>
    <w:rsid w:val="00A91900"/>
    <w:rsid w:val="00AF4509"/>
    <w:rsid w:val="00B032AE"/>
    <w:rsid w:val="00B16E47"/>
    <w:rsid w:val="00B92FF5"/>
    <w:rsid w:val="00BA2E46"/>
    <w:rsid w:val="00BB181E"/>
    <w:rsid w:val="00BB1978"/>
    <w:rsid w:val="00BB27A2"/>
    <w:rsid w:val="00BD4A8F"/>
    <w:rsid w:val="00C050F3"/>
    <w:rsid w:val="00C05158"/>
    <w:rsid w:val="00C34FBE"/>
    <w:rsid w:val="00CE4861"/>
    <w:rsid w:val="00CE5B75"/>
    <w:rsid w:val="00D161AF"/>
    <w:rsid w:val="00D46424"/>
    <w:rsid w:val="00D83E12"/>
    <w:rsid w:val="00D93DE5"/>
    <w:rsid w:val="00DA4425"/>
    <w:rsid w:val="00E0326C"/>
    <w:rsid w:val="00E2610C"/>
    <w:rsid w:val="00E303C0"/>
    <w:rsid w:val="00E31C39"/>
    <w:rsid w:val="00E320AD"/>
    <w:rsid w:val="00E373AB"/>
    <w:rsid w:val="00E72696"/>
    <w:rsid w:val="00E77F9A"/>
    <w:rsid w:val="00E9738F"/>
    <w:rsid w:val="00EC19FF"/>
    <w:rsid w:val="00F32AE1"/>
    <w:rsid w:val="00F33115"/>
    <w:rsid w:val="00F46191"/>
    <w:rsid w:val="00F81FE4"/>
    <w:rsid w:val="00FF3E7B"/>
    <w:rsid w:val="011D0799"/>
    <w:rsid w:val="018C5462"/>
    <w:rsid w:val="01B25DFE"/>
    <w:rsid w:val="020D5912"/>
    <w:rsid w:val="03C64591"/>
    <w:rsid w:val="03E90339"/>
    <w:rsid w:val="05256D34"/>
    <w:rsid w:val="06ED4D4B"/>
    <w:rsid w:val="06F87141"/>
    <w:rsid w:val="07BB40C7"/>
    <w:rsid w:val="08EF38EC"/>
    <w:rsid w:val="09284DBF"/>
    <w:rsid w:val="09446D7E"/>
    <w:rsid w:val="0A1675AA"/>
    <w:rsid w:val="0AC90772"/>
    <w:rsid w:val="0EAE5E5E"/>
    <w:rsid w:val="0F4B6711"/>
    <w:rsid w:val="104F44D5"/>
    <w:rsid w:val="109B1F8D"/>
    <w:rsid w:val="10B17669"/>
    <w:rsid w:val="14237D99"/>
    <w:rsid w:val="14C54C98"/>
    <w:rsid w:val="161D1528"/>
    <w:rsid w:val="17BF4271"/>
    <w:rsid w:val="18D74F3F"/>
    <w:rsid w:val="19E25A8D"/>
    <w:rsid w:val="19EC4338"/>
    <w:rsid w:val="1A5F6148"/>
    <w:rsid w:val="1DBC7AEC"/>
    <w:rsid w:val="1EBD7528"/>
    <w:rsid w:val="20DB6550"/>
    <w:rsid w:val="21E136F4"/>
    <w:rsid w:val="22A04815"/>
    <w:rsid w:val="23535C37"/>
    <w:rsid w:val="26531D8B"/>
    <w:rsid w:val="275A751E"/>
    <w:rsid w:val="27BD2B01"/>
    <w:rsid w:val="28076A45"/>
    <w:rsid w:val="2ACF0E36"/>
    <w:rsid w:val="2D1D2B95"/>
    <w:rsid w:val="2F7E1AF7"/>
    <w:rsid w:val="2F862BC5"/>
    <w:rsid w:val="305C00F9"/>
    <w:rsid w:val="313A7139"/>
    <w:rsid w:val="31AC46DA"/>
    <w:rsid w:val="32683389"/>
    <w:rsid w:val="3318043A"/>
    <w:rsid w:val="34F321CC"/>
    <w:rsid w:val="36C936FE"/>
    <w:rsid w:val="38FC2B02"/>
    <w:rsid w:val="39766FF2"/>
    <w:rsid w:val="3A3C4BCB"/>
    <w:rsid w:val="3A9532FB"/>
    <w:rsid w:val="3B57FF03"/>
    <w:rsid w:val="3BBF210A"/>
    <w:rsid w:val="3BFBD5F2"/>
    <w:rsid w:val="3C5B2CDB"/>
    <w:rsid w:val="3D150741"/>
    <w:rsid w:val="3E2566A4"/>
    <w:rsid w:val="3F7E5351"/>
    <w:rsid w:val="4146226E"/>
    <w:rsid w:val="434002F8"/>
    <w:rsid w:val="43712A5A"/>
    <w:rsid w:val="4409550D"/>
    <w:rsid w:val="45A13E49"/>
    <w:rsid w:val="462B298E"/>
    <w:rsid w:val="4769700F"/>
    <w:rsid w:val="4E424101"/>
    <w:rsid w:val="4E9D337C"/>
    <w:rsid w:val="4EFE40C2"/>
    <w:rsid w:val="51F53730"/>
    <w:rsid w:val="54133033"/>
    <w:rsid w:val="546F0E0A"/>
    <w:rsid w:val="56865A7D"/>
    <w:rsid w:val="56AB5155"/>
    <w:rsid w:val="57313966"/>
    <w:rsid w:val="58121B96"/>
    <w:rsid w:val="583E376D"/>
    <w:rsid w:val="58E34C34"/>
    <w:rsid w:val="5A6C6059"/>
    <w:rsid w:val="5D0B2C53"/>
    <w:rsid w:val="5DD76B10"/>
    <w:rsid w:val="5E014390"/>
    <w:rsid w:val="5E3633EC"/>
    <w:rsid w:val="5F4A6202"/>
    <w:rsid w:val="616E34C6"/>
    <w:rsid w:val="61E21802"/>
    <w:rsid w:val="623D1E92"/>
    <w:rsid w:val="62715C60"/>
    <w:rsid w:val="627B657A"/>
    <w:rsid w:val="64A6112D"/>
    <w:rsid w:val="64C0477E"/>
    <w:rsid w:val="661104BF"/>
    <w:rsid w:val="699C4EA7"/>
    <w:rsid w:val="6A3C3003"/>
    <w:rsid w:val="6D15771F"/>
    <w:rsid w:val="6F6944D6"/>
    <w:rsid w:val="718A5772"/>
    <w:rsid w:val="76592994"/>
    <w:rsid w:val="79632EC7"/>
    <w:rsid w:val="7AFF2EFC"/>
    <w:rsid w:val="7EBDA5F4"/>
    <w:rsid w:val="7F6E34E0"/>
    <w:rsid w:val="BDC7AFFB"/>
    <w:rsid w:val="BDFF5D3E"/>
    <w:rsid w:val="BFFF61E0"/>
    <w:rsid w:val="E81F8FE0"/>
    <w:rsid w:val="EB7A3EF3"/>
    <w:rsid w:val="FBAF34BD"/>
    <w:rsid w:val="FEEF77FE"/>
    <w:rsid w:val="FF5F557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unhideWhenUsed/>
    <w:uiPriority w:val="1"/>
  </w:style>
  <w:style w:type="table" w:default="1" w:styleId="9">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2"/>
    <w:unhideWhenUsed/>
    <w:qFormat/>
    <w:uiPriority w:val="99"/>
    <w:pPr>
      <w:jc w:val="left"/>
    </w:pPr>
  </w:style>
  <w:style w:type="paragraph" w:styleId="3">
    <w:name w:val="Plain Text"/>
    <w:basedOn w:val="1"/>
    <w:link w:val="13"/>
    <w:unhideWhenUsed/>
    <w:qFormat/>
    <w:uiPriority w:val="99"/>
    <w:rPr>
      <w:rFonts w:ascii="宋体" w:hAnsi="Courier New"/>
      <w:kern w:val="0"/>
      <w:sz w:val="20"/>
      <w:szCs w:val="21"/>
    </w:rPr>
  </w:style>
  <w:style w:type="paragraph" w:styleId="4">
    <w:name w:val="Balloon Text"/>
    <w:basedOn w:val="1"/>
    <w:link w:val="14"/>
    <w:unhideWhenUsed/>
    <w:qFormat/>
    <w:uiPriority w:val="99"/>
    <w:rPr>
      <w:sz w:val="18"/>
      <w:szCs w:val="18"/>
    </w:rPr>
  </w:style>
  <w:style w:type="paragraph" w:styleId="5">
    <w:name w:val="footer"/>
    <w:basedOn w:val="1"/>
    <w:link w:val="15"/>
    <w:unhideWhenUsed/>
    <w:qFormat/>
    <w:uiPriority w:val="99"/>
    <w:pPr>
      <w:tabs>
        <w:tab w:val="center" w:pos="4153"/>
        <w:tab w:val="right" w:pos="8306"/>
      </w:tabs>
      <w:snapToGrid w:val="0"/>
      <w:jc w:val="left"/>
    </w:pPr>
    <w:rPr>
      <w:kern w:val="0"/>
      <w:sz w:val="18"/>
      <w:szCs w:val="18"/>
    </w:rPr>
  </w:style>
  <w:style w:type="paragraph" w:styleId="6">
    <w:name w:val="header"/>
    <w:basedOn w:val="1"/>
    <w:link w:val="16"/>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unhideWhenUsed/>
    <w:qFormat/>
    <w:uiPriority w:val="99"/>
    <w:rPr>
      <w:sz w:val="24"/>
    </w:rPr>
  </w:style>
  <w:style w:type="paragraph" w:styleId="8">
    <w:name w:val="annotation subject"/>
    <w:basedOn w:val="2"/>
    <w:next w:val="2"/>
    <w:link w:val="17"/>
    <w:unhideWhenUsed/>
    <w:qFormat/>
    <w:uiPriority w:val="99"/>
    <w:rPr>
      <w:b/>
      <w:bCs/>
    </w:rPr>
  </w:style>
  <w:style w:type="character" w:styleId="11">
    <w:name w:val="annotation reference"/>
    <w:unhideWhenUsed/>
    <w:qFormat/>
    <w:uiPriority w:val="99"/>
    <w:rPr>
      <w:sz w:val="21"/>
      <w:szCs w:val="21"/>
    </w:rPr>
  </w:style>
  <w:style w:type="character" w:customStyle="1" w:styleId="12">
    <w:name w:val="批注文字 字符"/>
    <w:link w:val="2"/>
    <w:qFormat/>
    <w:uiPriority w:val="99"/>
    <w:rPr>
      <w:rFonts w:ascii="Times New Roman" w:hAnsi="Times New Roman"/>
      <w:kern w:val="2"/>
      <w:sz w:val="21"/>
    </w:rPr>
  </w:style>
  <w:style w:type="character" w:customStyle="1" w:styleId="13">
    <w:name w:val="纯文本 字符"/>
    <w:link w:val="3"/>
    <w:qFormat/>
    <w:uiPriority w:val="99"/>
    <w:rPr>
      <w:rFonts w:ascii="宋体" w:hAnsi="Courier New" w:eastAsia="宋体" w:cs="Courier New"/>
      <w:szCs w:val="21"/>
    </w:rPr>
  </w:style>
  <w:style w:type="character" w:customStyle="1" w:styleId="14">
    <w:name w:val="批注框文本 字符"/>
    <w:link w:val="4"/>
    <w:semiHidden/>
    <w:qFormat/>
    <w:uiPriority w:val="99"/>
    <w:rPr>
      <w:kern w:val="2"/>
      <w:sz w:val="18"/>
      <w:szCs w:val="18"/>
    </w:rPr>
  </w:style>
  <w:style w:type="character" w:customStyle="1" w:styleId="15">
    <w:name w:val="页脚 字符"/>
    <w:link w:val="5"/>
    <w:qFormat/>
    <w:uiPriority w:val="99"/>
    <w:rPr>
      <w:rFonts w:ascii="Calibri" w:hAnsi="Calibri" w:eastAsia="宋体" w:cs="Times New Roman"/>
      <w:kern w:val="0"/>
      <w:sz w:val="18"/>
      <w:szCs w:val="18"/>
    </w:rPr>
  </w:style>
  <w:style w:type="character" w:customStyle="1" w:styleId="16">
    <w:name w:val="页眉 字符"/>
    <w:link w:val="6"/>
    <w:qFormat/>
    <w:uiPriority w:val="99"/>
    <w:rPr>
      <w:kern w:val="2"/>
      <w:sz w:val="18"/>
      <w:szCs w:val="18"/>
    </w:rPr>
  </w:style>
  <w:style w:type="character" w:customStyle="1" w:styleId="17">
    <w:name w:val="批注主题 字符"/>
    <w:link w:val="8"/>
    <w:semiHidden/>
    <w:qFormat/>
    <w:uiPriority w:val="99"/>
    <w:rPr>
      <w:rFonts w:ascii="Times New Roman" w:hAnsi="Times New Roman"/>
      <w:b/>
      <w:bCs/>
      <w:kern w:val="2"/>
      <w:sz w:val="21"/>
    </w:rPr>
  </w:style>
  <w:style w:type="paragraph" w:styleId="18">
    <w:name w:val="List Paragraph"/>
    <w:basedOn w:val="1"/>
    <w:qFormat/>
    <w:uiPriority w:val="34"/>
    <w:pPr>
      <w:widowControl/>
      <w:ind w:firstLine="420"/>
    </w:pPr>
    <w:rPr>
      <w:rFonts w:cs="宋体"/>
      <w:kern w:val="0"/>
      <w:szCs w:val="21"/>
    </w:rPr>
  </w:style>
  <w:style w:type="paragraph" w:customStyle="1" w:styleId="19">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20">
    <w:name w:val="_Style 19"/>
    <w:unhideWhenUsed/>
    <w:qFormat/>
    <w:uiPriority w:val="99"/>
    <w:rPr>
      <w:rFonts w:ascii="Times New Roman" w:hAnsi="Times New Roman" w:eastAsia="宋体" w:cs="Times New Roman"/>
      <w:kern w:val="2"/>
      <w:sz w:val="21"/>
      <w:lang w:val="en-US" w:eastAsia="zh-CN" w:bidi="ar-SA"/>
    </w:rPr>
  </w:style>
  <w:style w:type="character" w:customStyle="1" w:styleId="21">
    <w:name w:val="15"/>
    <w:basedOn w:val="10"/>
    <w:qFormat/>
    <w:uiPriority w:val="0"/>
    <w:rPr>
      <w:rFonts w:hint="default" w:ascii="Calibri" w:hAnsi="Calibri" w:cs="Calibri"/>
      <w:color w:val="0563C1"/>
      <w:u w:val="singl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Sky123.Org</Company>
  <Pages>9</Pages>
  <Words>2090</Words>
  <Characters>11915</Characters>
  <Lines>99</Lines>
  <Paragraphs>27</Paragraphs>
  <TotalTime>24</TotalTime>
  <ScaleCrop>false</ScaleCrop>
  <LinksUpToDate>false</LinksUpToDate>
  <CharactersWithSpaces>13978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2022-03-10T15:10:00Z</dcterms:created>
  <dc:creator>陈浩</dc:creator>
  <cp:lastModifiedBy>应心茹</cp:lastModifiedBy>
  <dcterms:modified xsi:type="dcterms:W3CDTF">2024-01-29T06:26:25Z</dcterms:modified>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7BE945DF9C5BDACD6E3DF8643B3AC595_43</vt:lpwstr>
  </property>
</Properties>
</file>