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0FDB1" w14:textId="70F93BEC" w:rsidR="00E859A8" w:rsidRDefault="00D94EFD">
      <w:pPr>
        <w:spacing w:line="372" w:lineRule="auto"/>
        <w:jc w:val="center"/>
        <w:rPr>
          <w:rFonts w:ascii="黑体" w:eastAsia="黑体"/>
          <w:sz w:val="30"/>
          <w:szCs w:val="30"/>
        </w:rPr>
      </w:pPr>
      <w:r>
        <w:rPr>
          <w:rFonts w:ascii="黑体" w:eastAsia="黑体" w:hint="eastAsia"/>
          <w:sz w:val="30"/>
          <w:szCs w:val="30"/>
        </w:rPr>
        <w:t>温州银行“金鹿理财</w:t>
      </w:r>
      <w:r>
        <w:rPr>
          <w:rFonts w:ascii="黑体" w:eastAsia="黑体" w:hint="eastAsia"/>
          <w:sz w:val="30"/>
          <w:szCs w:val="30"/>
        </w:rPr>
        <w:t>-</w:t>
      </w:r>
      <w:r>
        <w:rPr>
          <w:rFonts w:ascii="黑体" w:eastAsia="黑体" w:hint="eastAsia"/>
          <w:sz w:val="30"/>
          <w:szCs w:val="30"/>
        </w:rPr>
        <w:t>普惠颐养”</w:t>
      </w:r>
      <w:r>
        <w:rPr>
          <w:rFonts w:ascii="黑体" w:eastAsia="黑体"/>
          <w:color w:val="000000"/>
          <w:sz w:val="30"/>
          <w:szCs w:val="30"/>
          <w:u w:val="single"/>
        </w:rPr>
        <w:t>2100</w:t>
      </w:r>
      <w:r w:rsidR="006B4521">
        <w:rPr>
          <w:rFonts w:ascii="黑体" w:eastAsia="黑体"/>
          <w:color w:val="000000"/>
          <w:sz w:val="30"/>
          <w:szCs w:val="30"/>
          <w:u w:val="single"/>
        </w:rPr>
        <w:t>5</w:t>
      </w:r>
      <w:r>
        <w:rPr>
          <w:rFonts w:ascii="黑体" w:eastAsia="黑体" w:hint="eastAsia"/>
          <w:sz w:val="30"/>
          <w:szCs w:val="30"/>
        </w:rPr>
        <w:t>号</w:t>
      </w:r>
    </w:p>
    <w:p w14:paraId="6D31543A" w14:textId="77777777" w:rsidR="00E859A8" w:rsidRDefault="00D94EFD">
      <w:pPr>
        <w:spacing w:line="372" w:lineRule="auto"/>
        <w:jc w:val="center"/>
        <w:rPr>
          <w:rFonts w:ascii="宋体" w:hAnsi="宋体"/>
          <w:sz w:val="30"/>
          <w:szCs w:val="30"/>
        </w:rPr>
      </w:pPr>
      <w:r>
        <w:rPr>
          <w:rFonts w:ascii="黑体" w:eastAsia="黑体" w:hint="eastAsia"/>
          <w:sz w:val="30"/>
          <w:szCs w:val="30"/>
        </w:rPr>
        <w:t>开放式净值型银行理财计划风险揭示书</w:t>
      </w:r>
    </w:p>
    <w:p w14:paraId="1879289D" w14:textId="77777777" w:rsidR="00E859A8" w:rsidRDefault="00D94EFD">
      <w:pPr>
        <w:adjustRightInd w:val="0"/>
        <w:snapToGrid w:val="0"/>
        <w:spacing w:before="240" w:line="312" w:lineRule="auto"/>
        <w:rPr>
          <w:rFonts w:ascii="宋体" w:hAnsi="宋体"/>
          <w:b/>
          <w:szCs w:val="21"/>
        </w:rPr>
      </w:pPr>
      <w:r>
        <w:rPr>
          <w:rFonts w:ascii="宋体" w:hAnsi="宋体" w:hint="eastAsia"/>
          <w:b/>
          <w:szCs w:val="21"/>
        </w:rPr>
        <w:t>尊敬的客户：</w:t>
      </w:r>
    </w:p>
    <w:p w14:paraId="7B17C61B" w14:textId="77777777" w:rsidR="00E859A8" w:rsidRDefault="00D94EFD">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ascii="宋体" w:hAnsi="宋体" w:hint="eastAsia"/>
          <w:szCs w:val="21"/>
        </w:rPr>
        <w:t>，请在认购</w:t>
      </w:r>
      <w:r>
        <w:rPr>
          <w:rFonts w:hint="eastAsia"/>
          <w:szCs w:val="21"/>
        </w:rPr>
        <w:t>（申购）</w:t>
      </w:r>
      <w:r>
        <w:rPr>
          <w:rFonts w:ascii="宋体" w:hAnsi="宋体" w:hint="eastAsia"/>
          <w:szCs w:val="21"/>
        </w:rPr>
        <w:t>该理财产品前特别注意以下事项：</w:t>
      </w:r>
    </w:p>
    <w:p w14:paraId="5A17E70E" w14:textId="766DA60E" w:rsidR="00E859A8" w:rsidRDefault="00D94EFD">
      <w:pPr>
        <w:adjustRightInd w:val="0"/>
        <w:snapToGrid w:val="0"/>
        <w:spacing w:line="312" w:lineRule="auto"/>
        <w:ind w:firstLine="420"/>
        <w:rPr>
          <w:rFonts w:ascii="宋体" w:hAnsi="宋体"/>
          <w:b/>
          <w:bCs/>
          <w:szCs w:val="21"/>
        </w:rPr>
      </w:pPr>
      <w:r>
        <w:rPr>
          <w:rFonts w:ascii="宋体" w:hAnsi="宋体" w:hint="eastAsia"/>
          <w:szCs w:val="21"/>
        </w:rPr>
        <w:t>一、</w:t>
      </w:r>
      <w:r>
        <w:rPr>
          <w:rFonts w:hint="eastAsia"/>
          <w:szCs w:val="21"/>
        </w:rPr>
        <w:t>您将认购（申购）的温州银行“金鹿理财</w:t>
      </w:r>
      <w:r>
        <w:rPr>
          <w:rFonts w:ascii="宋体" w:hAnsi="宋体" w:hint="eastAsia"/>
          <w:szCs w:val="21"/>
        </w:rPr>
        <w:t>-</w:t>
      </w:r>
      <w:r>
        <w:rPr>
          <w:rFonts w:hint="eastAsia"/>
          <w:szCs w:val="21"/>
        </w:rPr>
        <w:t>普惠颐养”</w:t>
      </w:r>
      <w:r>
        <w:rPr>
          <w:color w:val="000000"/>
          <w:szCs w:val="21"/>
          <w:u w:val="single"/>
        </w:rPr>
        <w:t>2100</w:t>
      </w:r>
      <w:r w:rsidR="006B4521">
        <w:rPr>
          <w:color w:val="000000"/>
          <w:szCs w:val="21"/>
          <w:u w:val="single"/>
        </w:rPr>
        <w:t>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w:t>
      </w:r>
      <w:r>
        <w:rPr>
          <w:rFonts w:hint="eastAsia"/>
          <w:szCs w:val="21"/>
        </w:rPr>
        <w:t>i</w:t>
      </w:r>
      <w:r>
        <w:rPr>
          <w:rFonts w:hint="eastAsia"/>
          <w:szCs w:val="21"/>
        </w:rPr>
        <w:t>期运作期理财申购及赎回兑付，每个运作期内的理财期限、理财起始日、理财计划到期日及业绩比较基准等要素以《温州银行“金鹿理财</w:t>
      </w:r>
      <w:r>
        <w:rPr>
          <w:rFonts w:hint="eastAsia"/>
          <w:szCs w:val="21"/>
        </w:rPr>
        <w:t>-</w:t>
      </w:r>
      <w:r>
        <w:rPr>
          <w:rFonts w:hint="eastAsia"/>
          <w:szCs w:val="21"/>
        </w:rPr>
        <w:t>普惠颐养”</w:t>
      </w:r>
      <w:r w:rsidR="006B4521">
        <w:rPr>
          <w:color w:val="000000"/>
          <w:szCs w:val="21"/>
        </w:rPr>
        <w:t>21005</w:t>
      </w:r>
      <w:r w:rsidR="006B4521">
        <w:rPr>
          <w:color w:val="000000"/>
          <w:szCs w:val="21"/>
        </w:rPr>
        <w:t>号</w:t>
      </w:r>
      <w:r>
        <w:rPr>
          <w:rFonts w:hint="eastAsia"/>
          <w:szCs w:val="21"/>
        </w:rPr>
        <w:t>开放式净值型（第</w:t>
      </w:r>
      <w:r>
        <w:rPr>
          <w:rFonts w:hint="eastAsia"/>
          <w:szCs w:val="21"/>
        </w:rPr>
        <w:t>i</w:t>
      </w:r>
      <w:r>
        <w:rPr>
          <w:rFonts w:hint="eastAsia"/>
          <w:szCs w:val="21"/>
        </w:rPr>
        <w:t>期）银行理财计划开放认购（申购）申请书》约定为准。</w:t>
      </w:r>
      <w:r>
        <w:rPr>
          <w:rFonts w:hint="eastAsia"/>
          <w:b/>
          <w:szCs w:val="21"/>
        </w:rPr>
        <w:t>根据温</w:t>
      </w:r>
      <w:r>
        <w:rPr>
          <w:rFonts w:ascii="宋体" w:hAnsi="宋体" w:hint="eastAsia"/>
          <w:b/>
          <w:szCs w:val="21"/>
        </w:rPr>
        <w:t>州银行内部风险评级标准，该产品的风险等级为</w:t>
      </w:r>
      <w:r>
        <w:rPr>
          <w:rFonts w:ascii="宋体" w:hAnsi="宋体"/>
          <w:b/>
          <w:szCs w:val="21"/>
          <w:u w:val="single"/>
        </w:rPr>
        <w:t>PR2</w:t>
      </w:r>
      <w:r>
        <w:rPr>
          <w:rFonts w:ascii="宋体" w:hAnsi="宋体" w:hint="eastAsia"/>
          <w:b/>
          <w:szCs w:val="21"/>
          <w:u w:val="single"/>
        </w:rPr>
        <w:t>级</w:t>
      </w:r>
      <w:r>
        <w:rPr>
          <w:rFonts w:ascii="宋体" w:hAnsi="宋体" w:hint="eastAsia"/>
          <w:b/>
          <w:szCs w:val="21"/>
        </w:rPr>
        <w:t>（稳健型）：总体风险程度较低，温州银行不承诺本金保障，产品收益随投资表现变动。</w:t>
      </w:r>
      <w:r>
        <w:rPr>
          <w:rFonts w:ascii="宋体" w:hAnsi="宋体" w:hint="eastAsia"/>
          <w:szCs w:val="21"/>
        </w:rPr>
        <w:t>本理财产品适合客户：经温州银行评估为稳健型、平衡型、进取型、激进型的个人投资者。</w:t>
      </w:r>
      <w:r>
        <w:rPr>
          <w:rFonts w:ascii="宋体" w:hAnsi="宋体" w:hint="eastAsia"/>
          <w:b/>
          <w:bCs/>
          <w:szCs w:val="21"/>
        </w:rPr>
        <w:t>如影响您风险承受能力的因素发生变化，请在认购（申购）前及时重新完成风险承受能力评估。</w:t>
      </w:r>
    </w:p>
    <w:p w14:paraId="6207D7A1" w14:textId="77777777" w:rsidR="00E859A8" w:rsidRDefault="00D94EFD">
      <w:pPr>
        <w:adjustRightInd w:val="0"/>
        <w:snapToGrid w:val="0"/>
        <w:spacing w:line="312" w:lineRule="auto"/>
        <w:ind w:firstLine="420"/>
        <w:rPr>
          <w:rFonts w:ascii="宋体" w:hAnsi="宋体"/>
          <w:szCs w:val="21"/>
        </w:rPr>
      </w:pPr>
      <w:r>
        <w:rPr>
          <w:rFonts w:ascii="宋体" w:hAnsi="宋体" w:hint="eastAsia"/>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ascii="宋体" w:hAnsi="宋体" w:hint="eastAsia"/>
          <w:szCs w:val="21"/>
        </w:rPr>
        <w:t>等，在极端市场情况下，若在产品赎回清算日（或到期终止日）发生投资组合项下投资标的完全损失的最不利情况，投资者将损失全部本金。</w:t>
      </w:r>
    </w:p>
    <w:p w14:paraId="61E829A2" w14:textId="77777777" w:rsidR="00E859A8" w:rsidRDefault="00D94EFD">
      <w:pPr>
        <w:adjustRightInd w:val="0"/>
        <w:snapToGrid w:val="0"/>
        <w:spacing w:line="312" w:lineRule="auto"/>
        <w:ind w:firstLine="420"/>
        <w:rPr>
          <w:rFonts w:ascii="宋体" w:hAnsi="宋体"/>
          <w:szCs w:val="21"/>
        </w:rPr>
      </w:pPr>
      <w:r>
        <w:rPr>
          <w:rFonts w:ascii="宋体" w:hAnsi="宋体" w:hint="eastAsia"/>
          <w:szCs w:val="21"/>
        </w:rPr>
        <w:t>根据温州银行对本产品的内部风险评级结果，理财本金因市场变动而蒙受损失的概率较低，您应充分认识投资风险，谨慎投资。</w:t>
      </w:r>
    </w:p>
    <w:p w14:paraId="22920624" w14:textId="0387E188" w:rsidR="00E859A8" w:rsidRDefault="00D94EFD">
      <w:pPr>
        <w:adjustRightInd w:val="0"/>
        <w:snapToGrid w:val="0"/>
        <w:spacing w:line="312" w:lineRule="auto"/>
        <w:ind w:firstLine="420"/>
        <w:rPr>
          <w:rFonts w:ascii="宋体" w:hAnsi="宋体"/>
          <w:szCs w:val="21"/>
        </w:rPr>
      </w:pPr>
      <w:r>
        <w:rPr>
          <w:rFonts w:ascii="宋体" w:hAnsi="宋体" w:hint="eastAsia"/>
          <w:szCs w:val="21"/>
        </w:rPr>
        <w:t>三、本风险揭示书及《温州银行“金鹿理财</w:t>
      </w:r>
      <w:r>
        <w:rPr>
          <w:rFonts w:ascii="宋体" w:hAnsi="宋体" w:hint="eastAsia"/>
          <w:szCs w:val="21"/>
        </w:rPr>
        <w:t>-</w:t>
      </w:r>
      <w:r>
        <w:rPr>
          <w:rFonts w:ascii="宋体" w:hAnsi="宋体" w:hint="eastAsia"/>
          <w:szCs w:val="21"/>
        </w:rPr>
        <w:t>普惠颐养”</w:t>
      </w:r>
      <w:r w:rsidR="006B4521">
        <w:rPr>
          <w:color w:val="000000"/>
          <w:szCs w:val="21"/>
        </w:rPr>
        <w:t>21005</w:t>
      </w:r>
      <w:r w:rsidR="006B4521">
        <w:rPr>
          <w:color w:val="000000"/>
          <w:szCs w:val="21"/>
        </w:rPr>
        <w:t>号</w:t>
      </w:r>
      <w:r>
        <w:rPr>
          <w:rFonts w:ascii="宋体" w:hAnsi="宋体" w:hint="eastAsia"/>
          <w:szCs w:val="21"/>
        </w:rPr>
        <w:t>开放式净值型银行理财计划产品说明书》所揭示事项仅为列举性</w:t>
      </w:r>
      <w:r>
        <w:rPr>
          <w:rFonts w:ascii="宋体" w:hAnsi="宋体" w:hint="eastAsia"/>
          <w:szCs w:val="21"/>
        </w:rPr>
        <w:t>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ascii="宋体" w:hAnsi="宋体" w:hint="eastAsia"/>
          <w:szCs w:val="21"/>
        </w:rPr>
        <w:t>-</w:t>
      </w:r>
      <w:r>
        <w:rPr>
          <w:rFonts w:ascii="宋体" w:hAnsi="宋体" w:hint="eastAsia"/>
          <w:szCs w:val="21"/>
        </w:rPr>
        <w:t>普惠颐养”</w:t>
      </w:r>
      <w:r w:rsidR="006B4521">
        <w:rPr>
          <w:color w:val="000000"/>
          <w:szCs w:val="21"/>
        </w:rPr>
        <w:t>21005</w:t>
      </w:r>
      <w:r w:rsidR="006B4521">
        <w:rPr>
          <w:color w:val="000000"/>
          <w:szCs w:val="21"/>
        </w:rPr>
        <w:t>号</w:t>
      </w:r>
      <w:r>
        <w:rPr>
          <w:rFonts w:ascii="宋体" w:hAnsi="宋体" w:hint="eastAsia"/>
          <w:szCs w:val="21"/>
        </w:rPr>
        <w:t>开放式净值型银行理财计划产品说明书》、《温州银行“金鹿理财</w:t>
      </w:r>
      <w:r>
        <w:rPr>
          <w:rFonts w:ascii="宋体" w:hAnsi="宋体" w:hint="eastAsia"/>
          <w:szCs w:val="21"/>
        </w:rPr>
        <w:t>-</w:t>
      </w:r>
      <w:r>
        <w:rPr>
          <w:rFonts w:ascii="宋体" w:hAnsi="宋体" w:hint="eastAsia"/>
          <w:szCs w:val="21"/>
        </w:rPr>
        <w:t>普惠颐养”</w:t>
      </w:r>
      <w:r w:rsidR="006B4521">
        <w:rPr>
          <w:color w:val="000000"/>
          <w:szCs w:val="21"/>
        </w:rPr>
        <w:t>21005</w:t>
      </w:r>
      <w:r w:rsidR="006B4521">
        <w:rPr>
          <w:color w:val="000000"/>
          <w:szCs w:val="21"/>
        </w:rPr>
        <w:t>号</w:t>
      </w:r>
      <w:r>
        <w:rPr>
          <w:rFonts w:ascii="宋体" w:hAnsi="宋体" w:hint="eastAsia"/>
          <w:szCs w:val="21"/>
        </w:rPr>
        <w:t>开放式净值型（第</w:t>
      </w:r>
      <w:r>
        <w:rPr>
          <w:rFonts w:ascii="宋体" w:hAnsi="宋体" w:hint="eastAsia"/>
          <w:szCs w:val="21"/>
        </w:rPr>
        <w:t>i</w:t>
      </w:r>
      <w:r>
        <w:rPr>
          <w:rFonts w:ascii="宋体" w:hAnsi="宋体" w:hint="eastAsia"/>
          <w:szCs w:val="21"/>
        </w:rPr>
        <w:t>期）银行理财计划开放认购（申购）申请书》和《</w:t>
      </w:r>
      <w:r>
        <w:rPr>
          <w:rFonts w:ascii="宋体" w:hAnsi="宋体"/>
          <w:szCs w:val="21"/>
        </w:rPr>
        <w:t>温州银行理财产品投资者权益须知</w:t>
      </w:r>
      <w:r>
        <w:rPr>
          <w:rFonts w:ascii="宋体" w:hAnsi="宋体" w:hint="eastAsia"/>
          <w:szCs w:val="21"/>
        </w:rPr>
        <w:t>》，这些销售文件将共同构成客户与银行之间的理财交易合同。同时您还应向销售银行详细了解本产品的产品特性、资金投向、风</w:t>
      </w:r>
      <w:r>
        <w:rPr>
          <w:rFonts w:ascii="宋体" w:hAnsi="宋体" w:hint="eastAsia"/>
          <w:szCs w:val="21"/>
        </w:rPr>
        <w:t>险揭示内容及风险管控措施等内容。</w:t>
      </w:r>
    </w:p>
    <w:p w14:paraId="57026832" w14:textId="77777777" w:rsidR="00E859A8" w:rsidRDefault="00D94EFD">
      <w:pPr>
        <w:adjustRightInd w:val="0"/>
        <w:snapToGrid w:val="0"/>
        <w:spacing w:line="312" w:lineRule="auto"/>
        <w:ind w:firstLine="420"/>
        <w:rPr>
          <w:rFonts w:ascii="宋体" w:hAnsi="宋体"/>
          <w:szCs w:val="21"/>
        </w:rPr>
      </w:pPr>
      <w:r>
        <w:rPr>
          <w:rFonts w:ascii="宋体" w:hAnsi="宋体" w:hint="eastAsia"/>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12642D32" w14:textId="77777777" w:rsidR="00E859A8" w:rsidRDefault="00D94EFD">
      <w:pPr>
        <w:adjustRightInd w:val="0"/>
        <w:snapToGrid w:val="0"/>
        <w:spacing w:line="312" w:lineRule="auto"/>
        <w:ind w:firstLineChars="2700" w:firstLine="5670"/>
        <w:rPr>
          <w:rFonts w:ascii="宋体" w:hAnsi="宋体"/>
          <w:szCs w:val="21"/>
        </w:rPr>
      </w:pPr>
      <w:r>
        <w:rPr>
          <w:rFonts w:ascii="宋体" w:hAnsi="宋体" w:hint="eastAsia"/>
          <w:szCs w:val="21"/>
        </w:rPr>
        <w:t>风险揭示方：温州银行股份有限公司</w:t>
      </w:r>
    </w:p>
    <w:p w14:paraId="28268147" w14:textId="77777777" w:rsidR="00E859A8" w:rsidRDefault="00D94EFD">
      <w:pPr>
        <w:adjustRightInd w:val="0"/>
        <w:snapToGrid w:val="0"/>
        <w:spacing w:before="240" w:line="312" w:lineRule="auto"/>
        <w:jc w:val="center"/>
        <w:rPr>
          <w:rFonts w:ascii="宋体" w:hAnsi="宋体"/>
          <w:b/>
          <w:sz w:val="28"/>
          <w:szCs w:val="28"/>
        </w:rPr>
      </w:pPr>
      <w:r>
        <w:rPr>
          <w:rFonts w:ascii="宋体" w:hAnsi="宋体" w:hint="eastAsia"/>
          <w:b/>
          <w:sz w:val="28"/>
          <w:szCs w:val="28"/>
        </w:rPr>
        <w:t>客户确认栏</w:t>
      </w:r>
    </w:p>
    <w:p w14:paraId="683A376A" w14:textId="77777777" w:rsidR="00E859A8" w:rsidRDefault="00D94EFD">
      <w:pPr>
        <w:adjustRightInd w:val="0"/>
        <w:snapToGrid w:val="0"/>
        <w:spacing w:line="312" w:lineRule="auto"/>
        <w:rPr>
          <w:b/>
          <w:szCs w:val="21"/>
        </w:rPr>
      </w:pPr>
      <w:r>
        <w:rPr>
          <w:rFonts w:hint="eastAsia"/>
          <w:b/>
          <w:szCs w:val="21"/>
        </w:rPr>
        <w:t>本人经温州银行评估的风险承受能力等级为（客户填写）：</w:t>
      </w:r>
    </w:p>
    <w:p w14:paraId="1C6CC74F" w14:textId="77777777" w:rsidR="00E859A8" w:rsidRDefault="00D94EFD">
      <w:pPr>
        <w:adjustRightInd w:val="0"/>
        <w:snapToGrid w:val="0"/>
        <w:spacing w:line="312" w:lineRule="auto"/>
        <w:ind w:firstLineChars="150" w:firstLine="315"/>
        <w:rPr>
          <w:rFonts w:ascii="宋体" w:hAnsi="宋体"/>
          <w:szCs w:val="21"/>
          <w:u w:val="single"/>
        </w:rPr>
      </w:pPr>
      <w:r>
        <w:rPr>
          <w:rFonts w:ascii="宋体" w:hAnsi="宋体" w:hint="eastAsia"/>
          <w:szCs w:val="21"/>
          <w:u w:val="single"/>
        </w:rPr>
        <w:t>□保守型</w:t>
      </w:r>
      <w:r>
        <w:rPr>
          <w:rFonts w:ascii="宋体" w:hAnsi="宋体" w:hint="eastAsia"/>
          <w:szCs w:val="21"/>
          <w:u w:val="single"/>
        </w:rPr>
        <w:t xml:space="preserve">           </w:t>
      </w:r>
      <w:r>
        <w:rPr>
          <w:rFonts w:ascii="宋体" w:hAnsi="宋体" w:hint="eastAsia"/>
          <w:szCs w:val="21"/>
          <w:u w:val="single"/>
        </w:rPr>
        <w:t>□稳健型</w:t>
      </w:r>
      <w:r>
        <w:rPr>
          <w:rFonts w:ascii="宋体" w:hAnsi="宋体" w:hint="eastAsia"/>
          <w:szCs w:val="21"/>
          <w:u w:val="single"/>
        </w:rPr>
        <w:t xml:space="preserve">           </w:t>
      </w:r>
      <w:r>
        <w:rPr>
          <w:rFonts w:ascii="宋体" w:hAnsi="宋体" w:hint="eastAsia"/>
          <w:szCs w:val="21"/>
          <w:u w:val="single"/>
        </w:rPr>
        <w:t>□平衡型</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u w:val="single"/>
        </w:rPr>
        <w:t>□进取型</w:t>
      </w:r>
      <w:r>
        <w:rPr>
          <w:rFonts w:ascii="宋体" w:hAnsi="宋体" w:hint="eastAsia"/>
          <w:szCs w:val="21"/>
          <w:u w:val="single"/>
        </w:rPr>
        <w:t xml:space="preserve">          </w:t>
      </w:r>
      <w:r>
        <w:rPr>
          <w:rFonts w:ascii="宋体" w:hAnsi="宋体" w:hint="eastAsia"/>
          <w:szCs w:val="21"/>
          <w:u w:val="single"/>
        </w:rPr>
        <w:t>□激进型</w:t>
      </w:r>
    </w:p>
    <w:p w14:paraId="1426E776" w14:textId="77777777" w:rsidR="00E859A8" w:rsidRDefault="00D94EFD">
      <w:pPr>
        <w:adjustRightInd w:val="0"/>
        <w:snapToGrid w:val="0"/>
        <w:spacing w:line="312" w:lineRule="auto"/>
        <w:rPr>
          <w:rFonts w:ascii="宋体" w:hAnsi="宋体"/>
          <w:b/>
          <w:szCs w:val="21"/>
        </w:rPr>
      </w:pPr>
      <w:r>
        <w:rPr>
          <w:rFonts w:ascii="宋体" w:hAnsi="宋体" w:hint="eastAsia"/>
          <w:b/>
          <w:szCs w:val="21"/>
        </w:rPr>
        <w:t>本人同时确认如下：</w:t>
      </w:r>
      <w:r>
        <w:rPr>
          <w:rFonts w:ascii="宋体" w:hAnsi="宋体" w:hint="eastAsia"/>
          <w:b/>
          <w:szCs w:val="21"/>
          <w:u w:val="single"/>
        </w:rPr>
        <w:t xml:space="preserve">                                                                    </w:t>
      </w:r>
    </w:p>
    <w:p w14:paraId="338A5177" w14:textId="77777777" w:rsidR="00E859A8" w:rsidRDefault="00D94EFD">
      <w:pPr>
        <w:adjustRightInd w:val="0"/>
        <w:snapToGrid w:val="0"/>
        <w:spacing w:line="312" w:lineRule="auto"/>
        <w:rPr>
          <w:b/>
          <w:szCs w:val="21"/>
        </w:rPr>
      </w:pPr>
      <w:r>
        <w:rPr>
          <w:rFonts w:hint="eastAsia"/>
          <w:b/>
          <w:szCs w:val="21"/>
          <w:u w:val="single"/>
        </w:rPr>
        <w:t xml:space="preserve">                                                                                 </w:t>
      </w:r>
      <w:r>
        <w:rPr>
          <w:rFonts w:hint="eastAsia"/>
          <w:szCs w:val="21"/>
        </w:rPr>
        <w:t>。</w:t>
      </w:r>
    </w:p>
    <w:p w14:paraId="5C641387" w14:textId="77777777" w:rsidR="00E859A8" w:rsidRDefault="00D94EFD">
      <w:pPr>
        <w:adjustRightInd w:val="0"/>
        <w:snapToGrid w:val="0"/>
        <w:spacing w:line="312" w:lineRule="auto"/>
        <w:rPr>
          <w:szCs w:val="21"/>
        </w:rPr>
      </w:pPr>
      <w:r>
        <w:rPr>
          <w:rFonts w:hint="eastAsia"/>
          <w:szCs w:val="21"/>
        </w:rPr>
        <w:lastRenderedPageBreak/>
        <w:t>（客户需全文抄录以下文字以完成确认：“</w:t>
      </w:r>
      <w:r>
        <w:rPr>
          <w:rFonts w:hint="eastAsia"/>
          <w:b/>
          <w:szCs w:val="21"/>
        </w:rPr>
        <w:t>本人已经阅读上述风险提示，愿意承担投资风险</w:t>
      </w:r>
      <w:r>
        <w:rPr>
          <w:rFonts w:hint="eastAsia"/>
          <w:szCs w:val="21"/>
        </w:rPr>
        <w:t>”。）</w:t>
      </w:r>
    </w:p>
    <w:p w14:paraId="064DFEF5" w14:textId="77777777" w:rsidR="00E859A8" w:rsidRDefault="00D94EFD">
      <w:pPr>
        <w:adjustRightInd w:val="0"/>
        <w:snapToGrid w:val="0"/>
        <w:spacing w:line="312" w:lineRule="auto"/>
        <w:jc w:val="center"/>
        <w:rPr>
          <w:rFonts w:ascii="宋体" w:hAnsi="宋体"/>
          <w:szCs w:val="21"/>
        </w:rPr>
      </w:pPr>
      <w:r>
        <w:rPr>
          <w:rFonts w:ascii="宋体" w:hAnsi="宋体" w:hint="eastAsia"/>
          <w:szCs w:val="21"/>
        </w:rPr>
        <w:t>确认人（签字）：</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793AB978" w14:textId="0357ADD1" w:rsidR="00E859A8" w:rsidRDefault="00D94EFD">
      <w:pPr>
        <w:adjustRightInd w:val="0"/>
        <w:snapToGrid w:val="0"/>
        <w:spacing w:line="322" w:lineRule="auto"/>
        <w:jc w:val="center"/>
        <w:rPr>
          <w:rFonts w:ascii="黑体" w:eastAsia="黑体"/>
          <w:sz w:val="30"/>
          <w:szCs w:val="30"/>
        </w:rPr>
      </w:pPr>
      <w:r>
        <w:rPr>
          <w:rFonts w:ascii="黑体" w:eastAsia="黑体" w:hint="eastAsia"/>
          <w:sz w:val="30"/>
          <w:szCs w:val="30"/>
        </w:rPr>
        <w:t>温州银行“金鹿理财</w:t>
      </w:r>
      <w:r>
        <w:rPr>
          <w:rFonts w:ascii="黑体" w:eastAsia="黑体" w:hint="eastAsia"/>
          <w:sz w:val="30"/>
          <w:szCs w:val="30"/>
        </w:rPr>
        <w:t>-</w:t>
      </w:r>
      <w:r>
        <w:rPr>
          <w:rFonts w:ascii="黑体" w:eastAsia="黑体" w:hint="eastAsia"/>
          <w:sz w:val="30"/>
          <w:szCs w:val="30"/>
        </w:rPr>
        <w:t>普惠颐养”</w:t>
      </w:r>
      <w:r>
        <w:rPr>
          <w:rFonts w:ascii="黑体" w:eastAsia="黑体"/>
          <w:color w:val="000000"/>
          <w:sz w:val="30"/>
          <w:szCs w:val="30"/>
          <w:u w:val="single"/>
        </w:rPr>
        <w:t>2100</w:t>
      </w:r>
      <w:r w:rsidR="006B4521">
        <w:rPr>
          <w:rFonts w:ascii="黑体" w:eastAsia="黑体"/>
          <w:color w:val="000000"/>
          <w:sz w:val="30"/>
          <w:szCs w:val="30"/>
          <w:u w:val="single"/>
        </w:rPr>
        <w:t>5</w:t>
      </w:r>
      <w:r>
        <w:rPr>
          <w:rFonts w:ascii="黑体" w:eastAsia="黑体" w:hint="eastAsia"/>
          <w:sz w:val="30"/>
          <w:szCs w:val="30"/>
        </w:rPr>
        <w:t>号</w:t>
      </w:r>
    </w:p>
    <w:p w14:paraId="5CEA20D6" w14:textId="77777777" w:rsidR="00E859A8" w:rsidRDefault="00D94EFD">
      <w:pPr>
        <w:spacing w:line="372" w:lineRule="auto"/>
        <w:jc w:val="center"/>
        <w:rPr>
          <w:rFonts w:ascii="黑体" w:eastAsia="黑体"/>
          <w:bCs/>
          <w:sz w:val="30"/>
          <w:szCs w:val="30"/>
        </w:rPr>
      </w:pPr>
      <w:r>
        <w:rPr>
          <w:rFonts w:ascii="黑体" w:eastAsia="黑体" w:hint="eastAsia"/>
          <w:sz w:val="30"/>
          <w:szCs w:val="30"/>
        </w:rPr>
        <w:t>开放式净值型</w:t>
      </w:r>
      <w:r>
        <w:rPr>
          <w:rFonts w:ascii="黑体" w:eastAsia="黑体" w:hint="eastAsia"/>
          <w:bCs/>
          <w:sz w:val="30"/>
          <w:szCs w:val="30"/>
        </w:rPr>
        <w:t>银行理财计划产品说明书</w:t>
      </w:r>
    </w:p>
    <w:p w14:paraId="1CFA8F7B" w14:textId="77777777" w:rsidR="00E859A8" w:rsidRDefault="00D94EFD">
      <w:pPr>
        <w:adjustRightInd w:val="0"/>
        <w:snapToGrid w:val="0"/>
        <w:spacing w:before="120" w:line="288" w:lineRule="auto"/>
        <w:rPr>
          <w:b/>
          <w:sz w:val="18"/>
          <w:szCs w:val="18"/>
        </w:rPr>
      </w:pPr>
      <w:r>
        <w:rPr>
          <w:rFonts w:hint="eastAsia"/>
          <w:b/>
          <w:sz w:val="18"/>
          <w:szCs w:val="18"/>
        </w:rPr>
        <w:t>重要须知</w:t>
      </w:r>
    </w:p>
    <w:p w14:paraId="535F1E13" w14:textId="77777777" w:rsidR="00E859A8" w:rsidRDefault="00D94EFD">
      <w:pPr>
        <w:adjustRightInd w:val="0"/>
        <w:snapToGrid w:val="0"/>
        <w:spacing w:line="288" w:lineRule="auto"/>
        <w:rPr>
          <w:sz w:val="18"/>
          <w:szCs w:val="18"/>
        </w:rPr>
      </w:pPr>
      <w:r>
        <w:rPr>
          <w:rFonts w:hint="eastAsia"/>
          <w:sz w:val="18"/>
          <w:szCs w:val="18"/>
        </w:rPr>
        <w:t>本产品与银行存款存在明显区别，具有一定的风险。</w:t>
      </w:r>
    </w:p>
    <w:p w14:paraId="0311A82E" w14:textId="77777777" w:rsidR="00E859A8" w:rsidRDefault="00D94EFD">
      <w:pPr>
        <w:adjustRightInd w:val="0"/>
        <w:snapToGrid w:val="0"/>
        <w:spacing w:line="288" w:lineRule="auto"/>
        <w:rPr>
          <w:sz w:val="18"/>
          <w:szCs w:val="18"/>
        </w:rPr>
      </w:pPr>
      <w:r>
        <w:rPr>
          <w:rFonts w:hint="eastAsia"/>
          <w:sz w:val="18"/>
          <w:szCs w:val="18"/>
        </w:rPr>
        <w:t>本产品适合于无投资经验投资者和有投资经验投资者。</w:t>
      </w:r>
    </w:p>
    <w:p w14:paraId="576DA80E" w14:textId="77777777" w:rsidR="00E859A8" w:rsidRDefault="00D94EFD">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24D4F589" w14:textId="77777777" w:rsidR="00E859A8" w:rsidRDefault="00D94EF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18DC4816" w14:textId="77777777" w:rsidR="00E859A8" w:rsidRDefault="00D94EFD">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55C63A20" w14:textId="77777777" w:rsidR="00E859A8" w:rsidRDefault="00D94EFD">
      <w:pPr>
        <w:adjustRightInd w:val="0"/>
        <w:snapToGrid w:val="0"/>
        <w:spacing w:line="288" w:lineRule="auto"/>
        <w:rPr>
          <w:sz w:val="18"/>
          <w:szCs w:val="18"/>
        </w:rPr>
      </w:pPr>
      <w:r>
        <w:rPr>
          <w:rFonts w:hint="eastAsia"/>
          <w:sz w:val="18"/>
          <w:szCs w:val="18"/>
        </w:rPr>
        <w:t>投资者在认购（申购）本产品后，应随时关注本产品的信息披露情况，及</w:t>
      </w:r>
      <w:r>
        <w:rPr>
          <w:rFonts w:hint="eastAsia"/>
          <w:sz w:val="18"/>
          <w:szCs w:val="18"/>
        </w:rPr>
        <w:t>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30B0B811" w14:textId="77777777" w:rsidR="00E859A8" w:rsidRDefault="00D94EFD">
      <w:pPr>
        <w:adjustRightInd w:val="0"/>
        <w:snapToGrid w:val="0"/>
        <w:spacing w:line="288" w:lineRule="auto"/>
        <w:rPr>
          <w:b/>
          <w:sz w:val="18"/>
          <w:szCs w:val="18"/>
        </w:rPr>
      </w:pPr>
      <w:r>
        <w:rPr>
          <w:rFonts w:hint="eastAsia"/>
          <w:b/>
          <w:sz w:val="18"/>
          <w:szCs w:val="18"/>
        </w:rPr>
        <w:t>释义</w:t>
      </w:r>
    </w:p>
    <w:p w14:paraId="069220DF" w14:textId="77777777" w:rsidR="00E859A8" w:rsidRDefault="00D94EFD">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2F03C36F" w14:textId="79E5D770" w:rsidR="00E859A8" w:rsidRDefault="00D94EFD">
      <w:pPr>
        <w:adjustRightInd w:val="0"/>
        <w:snapToGrid w:val="0"/>
        <w:spacing w:line="288" w:lineRule="auto"/>
        <w:rPr>
          <w:sz w:val="18"/>
          <w:szCs w:val="18"/>
        </w:rPr>
      </w:pPr>
      <w:r>
        <w:rPr>
          <w:rFonts w:hint="eastAsia"/>
          <w:sz w:val="18"/>
          <w:szCs w:val="18"/>
        </w:rPr>
        <w:t>产品：指“金鹿理财</w:t>
      </w:r>
      <w:r>
        <w:rPr>
          <w:rFonts w:ascii="宋体" w:hAnsi="宋体" w:hint="eastAsia"/>
          <w:sz w:val="18"/>
          <w:szCs w:val="18"/>
        </w:rPr>
        <w:t>-</w:t>
      </w:r>
      <w:r>
        <w:rPr>
          <w:rFonts w:hint="eastAsia"/>
          <w:sz w:val="18"/>
          <w:szCs w:val="18"/>
        </w:rPr>
        <w:t>普惠颐养”</w:t>
      </w:r>
      <w:r w:rsidR="006B4521">
        <w:rPr>
          <w:color w:val="000000"/>
          <w:sz w:val="18"/>
          <w:szCs w:val="18"/>
        </w:rPr>
        <w:t>21005</w:t>
      </w:r>
      <w:r w:rsidR="006B4521">
        <w:rPr>
          <w:color w:val="000000"/>
          <w:sz w:val="18"/>
          <w:szCs w:val="18"/>
        </w:rPr>
        <w:t>号</w:t>
      </w:r>
      <w:r>
        <w:rPr>
          <w:rFonts w:hint="eastAsia"/>
          <w:sz w:val="18"/>
          <w:szCs w:val="18"/>
        </w:rPr>
        <w:t>开放式净值型银行理财计划</w:t>
      </w:r>
    </w:p>
    <w:p w14:paraId="3E6D4A8C" w14:textId="77777777" w:rsidR="00E859A8" w:rsidRDefault="00D94EFD">
      <w:pPr>
        <w:adjustRightInd w:val="0"/>
        <w:snapToGrid w:val="0"/>
        <w:spacing w:line="288" w:lineRule="auto"/>
        <w:rPr>
          <w:sz w:val="18"/>
          <w:szCs w:val="18"/>
        </w:rPr>
      </w:pPr>
      <w:r>
        <w:rPr>
          <w:rFonts w:hint="eastAsia"/>
          <w:sz w:val="18"/>
          <w:szCs w:val="18"/>
        </w:rPr>
        <w:t>发行银行：指温州银行股份有限公司</w:t>
      </w:r>
    </w:p>
    <w:p w14:paraId="01D1B2CE" w14:textId="77777777" w:rsidR="00E859A8" w:rsidRDefault="00D94EFD">
      <w:pPr>
        <w:adjustRightInd w:val="0"/>
        <w:snapToGrid w:val="0"/>
        <w:spacing w:line="288" w:lineRule="auto"/>
        <w:rPr>
          <w:sz w:val="18"/>
          <w:szCs w:val="18"/>
        </w:rPr>
      </w:pPr>
      <w:r>
        <w:rPr>
          <w:rFonts w:hint="eastAsia"/>
          <w:sz w:val="18"/>
          <w:szCs w:val="18"/>
        </w:rPr>
        <w:t>产品托管人：具有证券投资基金托管业务资格的商业银行</w:t>
      </w:r>
    </w:p>
    <w:p w14:paraId="64C5496C" w14:textId="77777777" w:rsidR="00E859A8" w:rsidRDefault="00D94EFD">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7F9EA41A" w14:textId="77777777" w:rsidR="00E859A8" w:rsidRDefault="00D94EFD">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14:paraId="040A718F" w14:textId="77777777" w:rsidR="00E859A8" w:rsidRDefault="00E859A8">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18"/>
      </w:tblGrid>
      <w:tr w:rsidR="00E859A8" w14:paraId="2F51DFD6" w14:textId="77777777">
        <w:trPr>
          <w:trHeight w:val="464"/>
        </w:trPr>
        <w:tc>
          <w:tcPr>
            <w:tcW w:w="675" w:type="dxa"/>
            <w:shd w:val="clear" w:color="auto" w:fill="D6E3BC"/>
            <w:vAlign w:val="center"/>
          </w:tcPr>
          <w:p w14:paraId="1FB33505" w14:textId="77777777" w:rsidR="00E859A8" w:rsidRDefault="00D94EFD">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3905D1E4" w14:textId="77777777" w:rsidR="00E859A8" w:rsidRDefault="00D94EFD">
            <w:pPr>
              <w:widowControl/>
              <w:adjustRightInd w:val="0"/>
              <w:snapToGrid w:val="0"/>
              <w:spacing w:line="300" w:lineRule="auto"/>
              <w:outlineLvl w:val="0"/>
              <w:rPr>
                <w:b/>
                <w:sz w:val="18"/>
                <w:szCs w:val="18"/>
              </w:rPr>
            </w:pPr>
            <w:r>
              <w:rPr>
                <w:rFonts w:hint="eastAsia"/>
                <w:b/>
                <w:sz w:val="18"/>
                <w:szCs w:val="18"/>
              </w:rPr>
              <w:t>激进型产品</w:t>
            </w:r>
          </w:p>
        </w:tc>
      </w:tr>
      <w:tr w:rsidR="00E859A8" w14:paraId="6A92FBC1" w14:textId="77777777">
        <w:trPr>
          <w:trHeight w:val="444"/>
        </w:trPr>
        <w:tc>
          <w:tcPr>
            <w:tcW w:w="675" w:type="dxa"/>
            <w:shd w:val="clear" w:color="auto" w:fill="D6E3BC"/>
            <w:vAlign w:val="center"/>
          </w:tcPr>
          <w:p w14:paraId="7304DD92" w14:textId="77777777" w:rsidR="00E859A8" w:rsidRDefault="00D94EFD">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1CB51929" w14:textId="77777777" w:rsidR="00E859A8" w:rsidRDefault="00D94EFD">
            <w:pPr>
              <w:widowControl/>
              <w:adjustRightInd w:val="0"/>
              <w:snapToGrid w:val="0"/>
              <w:spacing w:line="300" w:lineRule="auto"/>
              <w:outlineLvl w:val="0"/>
              <w:rPr>
                <w:b/>
                <w:sz w:val="18"/>
                <w:szCs w:val="18"/>
              </w:rPr>
            </w:pPr>
            <w:r>
              <w:rPr>
                <w:rFonts w:hint="eastAsia"/>
                <w:b/>
                <w:sz w:val="18"/>
                <w:szCs w:val="18"/>
              </w:rPr>
              <w:t>进取型产品</w:t>
            </w:r>
          </w:p>
        </w:tc>
      </w:tr>
      <w:tr w:rsidR="00E859A8" w14:paraId="47073D63" w14:textId="77777777">
        <w:trPr>
          <w:trHeight w:val="464"/>
        </w:trPr>
        <w:tc>
          <w:tcPr>
            <w:tcW w:w="675" w:type="dxa"/>
            <w:shd w:val="clear" w:color="auto" w:fill="D6E3BC"/>
            <w:vAlign w:val="center"/>
          </w:tcPr>
          <w:p w14:paraId="23D10E5B" w14:textId="77777777" w:rsidR="00E859A8" w:rsidRDefault="00D94EFD">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26207A79" w14:textId="77777777" w:rsidR="00E859A8" w:rsidRDefault="00D94EFD">
            <w:pPr>
              <w:widowControl/>
              <w:adjustRightInd w:val="0"/>
              <w:snapToGrid w:val="0"/>
              <w:spacing w:line="300" w:lineRule="auto"/>
              <w:outlineLvl w:val="0"/>
              <w:rPr>
                <w:b/>
                <w:sz w:val="18"/>
                <w:szCs w:val="18"/>
              </w:rPr>
            </w:pPr>
            <w:r>
              <w:rPr>
                <w:rFonts w:hint="eastAsia"/>
                <w:b/>
                <w:sz w:val="18"/>
                <w:szCs w:val="18"/>
              </w:rPr>
              <w:t>平衡型产品</w:t>
            </w:r>
          </w:p>
        </w:tc>
      </w:tr>
      <w:tr w:rsidR="00E859A8" w14:paraId="4AF48454" w14:textId="77777777">
        <w:trPr>
          <w:trHeight w:val="464"/>
        </w:trPr>
        <w:tc>
          <w:tcPr>
            <w:tcW w:w="675" w:type="dxa"/>
            <w:shd w:val="clear" w:color="auto" w:fill="D6E3BC"/>
            <w:vAlign w:val="center"/>
          </w:tcPr>
          <w:p w14:paraId="7BCAD91A" w14:textId="77777777" w:rsidR="00E859A8" w:rsidRDefault="00D94EFD">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FF7A7FE" w14:textId="77777777" w:rsidR="00E859A8" w:rsidRDefault="00D94EFD">
            <w:pPr>
              <w:widowControl/>
              <w:adjustRightInd w:val="0"/>
              <w:snapToGrid w:val="0"/>
              <w:spacing w:line="300" w:lineRule="auto"/>
              <w:outlineLvl w:val="0"/>
              <w:rPr>
                <w:b/>
                <w:sz w:val="18"/>
                <w:szCs w:val="18"/>
              </w:rPr>
            </w:pPr>
            <w:r>
              <w:rPr>
                <w:rFonts w:hint="eastAsia"/>
                <w:b/>
                <w:sz w:val="18"/>
                <w:szCs w:val="18"/>
              </w:rPr>
              <w:t>稳健型产品</w:t>
            </w:r>
          </w:p>
        </w:tc>
      </w:tr>
      <w:tr w:rsidR="00E859A8" w14:paraId="41939FBF" w14:textId="77777777">
        <w:trPr>
          <w:trHeight w:val="481"/>
        </w:trPr>
        <w:tc>
          <w:tcPr>
            <w:tcW w:w="675" w:type="dxa"/>
            <w:shd w:val="clear" w:color="auto" w:fill="D6E3BC"/>
            <w:vAlign w:val="center"/>
          </w:tcPr>
          <w:p w14:paraId="2185682E" w14:textId="77777777" w:rsidR="00E859A8" w:rsidRDefault="00D94EFD">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FA6223" w14:textId="77777777" w:rsidR="00E859A8" w:rsidRDefault="00D94EFD">
            <w:pPr>
              <w:widowControl/>
              <w:adjustRightInd w:val="0"/>
              <w:snapToGrid w:val="0"/>
              <w:spacing w:line="300" w:lineRule="auto"/>
              <w:outlineLvl w:val="0"/>
              <w:rPr>
                <w:b/>
                <w:sz w:val="18"/>
                <w:szCs w:val="18"/>
              </w:rPr>
            </w:pPr>
            <w:r>
              <w:rPr>
                <w:rFonts w:hint="eastAsia"/>
                <w:b/>
                <w:sz w:val="18"/>
                <w:szCs w:val="18"/>
              </w:rPr>
              <w:t>谨慎型产品</w:t>
            </w:r>
          </w:p>
        </w:tc>
      </w:tr>
    </w:tbl>
    <w:p w14:paraId="576443B8" w14:textId="77777777" w:rsidR="00E859A8" w:rsidRDefault="00D94EFD">
      <w:pPr>
        <w:widowControl/>
        <w:adjustRightInd w:val="0"/>
        <w:snapToGrid w:val="0"/>
        <w:spacing w:line="300" w:lineRule="auto"/>
        <w:outlineLvl w:val="0"/>
        <w:rPr>
          <w:b/>
          <w:sz w:val="18"/>
          <w:szCs w:val="18"/>
        </w:rPr>
      </w:pPr>
      <w:r>
        <w:rPr>
          <w:b/>
          <w:noProof/>
          <w:sz w:val="18"/>
          <w:szCs w:val="18"/>
        </w:rPr>
        <mc:AlternateContent>
          <mc:Choice Requires="wps">
            <w:drawing>
              <wp:anchor distT="0" distB="0" distL="114300" distR="114300" simplePos="0" relativeHeight="251659264" behindDoc="0" locked="0" layoutInCell="1" allowOverlap="1" wp14:anchorId="24039CC3" wp14:editId="39A1B64A">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1EBC07F" w14:textId="77777777" w:rsidR="00E859A8" w:rsidRDefault="00D94EFD">
                            <w:r>
                              <w:rPr>
                                <w:rFonts w:hint="eastAsia"/>
                              </w:rPr>
                              <w:t>业绩比较基准</w:t>
                            </w:r>
                          </w:p>
                        </w:txbxContent>
                      </wps:txbx>
                      <wps:bodyPr vert="eaVert" wrap="square" upright="1"/>
                    </wps:wsp>
                  </a:graphicData>
                </a:graphic>
              </wp:anchor>
            </w:drawing>
          </mc:Choice>
          <mc:Fallback>
            <w:pict>
              <v:shapetype w14:anchorId="24039CC3" id="_x0000_t202" coordsize="21600,21600" o:spt="202" path="m,l,21600r21600,l21600,xe">
                <v:stroke joinstyle="miter"/>
                <v:path gradientshapeok="t" o:connecttype="rect"/>
              </v:shapetype>
              <v:shape id="Text Box 12" o:spid="_x0000_s1026" type="#_x0000_t202" style="position:absolute;left:0;text-align:left;margin-left:-4.55pt;margin-top:17.3pt;width:30.7pt;height:72.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XvrrQEAAEUDAAAOAAAAZHJzL2Uyb0RvYy54bWysUstu2zAQvBfoPxC815IcNLAFywHawL0U&#10;bYEkvdMUKRHgq7u0Jf99l7Tj9HELogNF7g6HO7O7uZudZUcFaILveLOoOVNeht74oeNPj7sPK84w&#10;Cd8LG7zq+Ekhv9u+f7eZYquWYQy2V8CIxGM7xY6PKcW2qlCOyglchKg8JXUAJxIdYah6EBOxO1st&#10;6/q2mgL0EYJUiBS9Pyf5tvBrrWT6rjWqxGzHqbZUVijrPq/VdiPaAUQcjbyUIV5RhRPG06NXqnuR&#10;BDuA+Y/KGQkBg04LGVwVtDZSFQ2kpqn/UfMwiqiKFjIH49UmfDta+e34A5jpqXcNZ1446tGjmhP7&#10;FGbWLLM/U8SWYA+RgGmmOGGf40jBLHvW4PKfBDHKk9Onq7uZTVLwZrVerSkjKbVubm/qj5mlerkc&#10;AdMXFRzLm44DNa94Ko5fMZ2hz5D8FgZr+p2xthxg2H+2wI6CGr0r34X9L5j1GexDvnZmzJEqSzxL&#10;ybs07+eL7n3oTySbBpwKUuIn/TmbaFw6jr8OAhRnhwhmGCldTClU1Ksi7DJXeRj+PJcHX6Z/+xsA&#10;AP//AwBQSwMEFAAGAAgAAAAhAJsxwr/gAAAACAEAAA8AAABkcnMvZG93bnJldi54bWxMj0FPwkAQ&#10;he8m/ofNmHghsC1VCrVbQogeTGMMKPelO7SN3dmmu0D9944nPU7el/e+ydej7cQFB986UhDPIhBI&#10;lTMt1Qo+P16mSxA+aDK6c4QKvtHDuri9yXVm3JV2eNmHWnAJ+UwraELoMyl91aDVfuZ6JM5ObrA6&#10;8DnU0gz6yuW2k/MoWkirW+KFRve4bbD62p+tgklS+k2cjukhedu+v5bPk10oUan7u3HzBCLgGP5g&#10;+NVndSjY6ejOZLzoFExXMZMKkocFCM4f5wmII3PpcgWyyOX/B4ofAAAA//8DAFBLAQItABQABgAI&#10;AAAAIQC2gziS/gAAAOEBAAATAAAAAAAAAAAAAAAAAAAAAABbQ29udGVudF9UeXBlc10ueG1sUEsB&#10;Ai0AFAAGAAgAAAAhADj9If/WAAAAlAEAAAsAAAAAAAAAAAAAAAAALwEAAF9yZWxzLy5yZWxzUEsB&#10;Ai0AFAAGAAgAAAAhAFvpe+utAQAARQMAAA4AAAAAAAAAAAAAAAAALgIAAGRycy9lMm9Eb2MueG1s&#10;UEsBAi0AFAAGAAgAAAAhAJsxwr/gAAAACAEAAA8AAAAAAAAAAAAAAAAABwQAAGRycy9kb3ducmV2&#10;LnhtbFBLBQYAAAAABAAEAPMAAAAUBQAAAAA=&#10;" stroked="f">
                <v:textbox style="layout-flow:vertical-ideographic">
                  <w:txbxContent>
                    <w:p w14:paraId="61EBC07F" w14:textId="77777777" w:rsidR="00E859A8" w:rsidRDefault="00D94EFD">
                      <w:r>
                        <w:rPr>
                          <w:rFonts w:hint="eastAsia"/>
                        </w:rPr>
                        <w:t>业绩比较基准</w:t>
                      </w:r>
                    </w:p>
                  </w:txbxContent>
                </v:textbox>
              </v:shape>
            </w:pict>
          </mc:Fallback>
        </mc:AlternateContent>
      </w:r>
      <w:r>
        <w:rPr>
          <w:b/>
          <w:noProof/>
          <w:sz w:val="18"/>
          <w:szCs w:val="18"/>
        </w:rPr>
        <mc:AlternateContent>
          <mc:Choice Requires="wpg">
            <w:drawing>
              <wp:inline distT="0" distB="0" distL="114300" distR="114300" wp14:anchorId="0BDAF95F" wp14:editId="6A9D65BC">
                <wp:extent cx="3929380" cy="1896110"/>
                <wp:effectExtent l="0" t="0" r="7620" b="8890"/>
                <wp:docPr id="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090D649" w14:textId="77777777" w:rsidR="00E859A8" w:rsidRDefault="00D94EFD">
                              <w:pPr>
                                <w:ind w:firstLineChars="49" w:firstLine="8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7DDBBA6" w14:textId="77777777" w:rsidR="00E859A8" w:rsidRDefault="00D94EFD">
                              <w:pPr>
                                <w:ind w:firstLineChars="49" w:firstLine="8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7D4533D" w14:textId="77777777" w:rsidR="00E859A8" w:rsidRDefault="00D94EFD">
                              <w:pPr>
                                <w:ind w:firstLineChars="49" w:firstLine="8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D6078A4" w14:textId="77777777" w:rsidR="00E859A8" w:rsidRDefault="00D94EFD">
                              <w:pPr>
                                <w:ind w:firstLineChars="49" w:firstLine="8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7A9C681" w14:textId="77777777" w:rsidR="00E859A8" w:rsidRDefault="00D94EFD">
                              <w:pPr>
                                <w:ind w:firstLineChars="49" w:firstLine="8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14:paraId="5B3F2699" w14:textId="77777777" w:rsidR="00E859A8" w:rsidRDefault="00D94EFD">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w14:anchorId="0BDAF95F" id="Group 2" o:spid="_x0000_s1027" style="width:309.4pt;height:149.3pt;mso-position-horizontal-relative:char;mso-position-vertical-relative:line" coordsize="6188,2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zm3CQQAAP4VAAAOAAAAZHJzL2Uyb0RvYy54bWzsWMlu4zgQvTcw/0DoPrEs2YokxGkMkjiX&#10;YDro7c5I1IKWSA5Jx87fTxW1eWmnHTcSGOjoIEhiscR677FY5MXHVV2RR6Z0KfjMGZ+5DmE8EWnJ&#10;85nz7ev879Ah2lCe0kpwNnOemHY+Xv714WIpY+aJQlQpUwSccB0v5cwpjJHxaKSTgtVUnwnJODRm&#10;QtXUwKvKR6miS/BeVyPPdYPRUqhUKpEwreHrddPoXFr/WcYS8ynLNDOkmjkwNmPvyt4f8D66vKBx&#10;rqgsyqQdBj1iFDUtOfy0d3VNDSULVe64qstECS0yc5aIeiSyrEyYjQGiGbtb0dwqsZA2ljxe5rKH&#10;CaDdwulot8m/j/eKlClwB/BwWgNH9rfEQ2yWMo/B5FbJL/JeNQHC451IfmjCxWcBgI7RcLRtie/5&#10;0G2VqRq7Q8RkZeF/6uFnK0MS+OhHXuSHMIwE2sZhFIxhTJagpAAWd/olxU3bMxiHoDPs5kVhYMdD&#10;4+aXdmD9QJYSZKYHJPXvIfmloJJZgjTC1CHZAXlfJmahGPEbKK1Nh6PuQbwqKM/ZP1qCWBFNwPUr&#10;QHKTlmvgrvXFGHTLxiGwPgMOjaXS5paJmuDDzFEwBqtj+ninDfI6mCB9XMzLqrKcVHzjAxjiF4C7&#10;Gx0+PYj0CVBZwgSbOfq/BVXMIQupyrzYCA44QbG9ATleR85dyRmZrDFzxe8VRDYE0EmoV603nTgE&#10;RTYNrOhp3El3OsEmq9sN9Q3otQBX8NfnAK44Wc6caOpNwR2CllXUwGMtUwCQ57avFlWZIhHIgFb5&#10;w1WlyCPFFGevdggbZsjvNdVFY2eb0IzGBaPpDU+JeZIw9zlkaQeHULPUIRWDpI5P1tLQshosjSpB&#10;t9Ue6+fkAM6sTN6OdH+D9CmGgzTDlN1DOsmqUn7H2YgQtUkrGDf0t0mp4x5mbJN5fOsYIu9m5dbk&#10;eufeTrA35h44a5a1z5DbrGKJXSFaAWA+buWwJ6meRyAfXJEi/7yZCB3zoQstyP0kCLFlP/W/yqsb&#10;U3VjRs/t1XrfMHv7VFGXhiFYxyeN/enl5wnDrB5WTXWCCCBlp7eiQKbeFpjVycECGwcu+ECFTYII&#10;4xzWldBt65pXVphrcxpw8OcqrK13T1Fhwa7CbL45WGHeZNwqzHW3KpcQW95z2AsKn6NzWL8NOL0c&#10;dr6rMJuJDlaY72HFCjls6tsw11KY975IvqyyPlpg/W7m9AQGy9j2Itls7g9W2MSdgBNQWGDL7DWB&#10;TdoK/JXXyPn8j6/C+p3T6Qks+onA7FJ3sMD8wIezJxCYFzTl0CAxbzpt6zB/63hpZ4P/OpU+1oT9&#10;2csvSuV+d/Mikuw5GRwy2l1MeyCKp5jr73bfPhzbXv4PAAD//wMAUEsDBBQABgAIAAAAIQClACcY&#10;3AAAAAUBAAAPAAAAZHJzL2Rvd25yZXYueG1sTI9BS8NAEIXvgv9hGcGb3aRiiDGbUop6KoKtIN6m&#10;yTQJzc6G7DZJ/72jF708GN7w3vfy1Ww7NdLgW8cG4kUEirh0Vcu1gY/9y10KygfkCjvHZOBCHlbF&#10;9VWOWeUmfqdxF2olIewzNNCE0Gda+7Ihi37hemLxjm6wGOQcal0NOEm47fQyihJtsWVpaLCnTUPl&#10;aXe2Bl4nnNb38fO4PR03l6/9w9vnNiZjbm/m9ROoQHP4e4YffEGHQpgO7syVV50BGRJ+VbwkTmXG&#10;wcDyMU1AF7n+T198AwAA//8DAFBLAQItABQABgAIAAAAIQC2gziS/gAAAOEBAAATAAAAAAAAAAAA&#10;AAAAAAAAAABbQ29udGVudF9UeXBlc10ueG1sUEsBAi0AFAAGAAgAAAAhADj9If/WAAAAlAEAAAsA&#10;AAAAAAAAAAAAAAAALwEAAF9yZWxzLy5yZWxzUEsBAi0AFAAGAAgAAAAhAOgTObcJBAAA/hUAAA4A&#10;AAAAAAAAAAAAAAAALgIAAGRycy9lMm9Eb2MueG1sUEsBAi0AFAAGAAgAAAAhAKUAJxjcAAAABQEA&#10;AA8AAAAAAAAAAAAAAAAAYwYAAGRycy9kb3ducmV2LnhtbFBLBQYAAAAABAAEAPMAAABsBwAAAAA=&#10;">
                <o:lock v:ext="edit" rotation="t"/>
                <v:rect id="Picture 3" o:spid="_x0000_s1028" style="position:absolute;width:6188;height:2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0x3wAAAANoAAAAPAAAAZHJzL2Rvd25yZXYueG1sRE9NawIx&#10;EL0X/A9hBG81q0KV1SiiFHpoC1rF67gZN4ubyZJkdfvvG0HoaXi8z1msOluLG/lQOVYwGmYgiAun&#10;Ky4VHH7eX2cgQkTWWDsmBb8UYLXsvSww1+7OO7rtYylSCIccFZgYm1zKUBiyGIauIU7cxXmLMUFf&#10;Su3xnsJtLcdZ9iYtVpwaDDa0MVRc961VMD1vD+0kfLY6C+vvo/a76+nLKDXod+s5iEhd/Bc/3R86&#10;zYfHK48rl38AAAD//wMAUEsBAi0AFAAGAAgAAAAhANvh9svuAAAAhQEAABMAAAAAAAAAAAAAAAAA&#10;AAAAAFtDb250ZW50X1R5cGVzXS54bWxQSwECLQAUAAYACAAAACEAWvQsW78AAAAVAQAACwAAAAAA&#10;AAAAAAAAAAAfAQAAX3JlbHMvLnJlbHNQSwECLQAUAAYACAAAACEAUmdMd8AAAADaAAAADwAAAAAA&#10;AAAAAAAAAAAHAgAAZHJzL2Rvd25yZXYueG1sUEsFBgAAAAADAAMAtwAAAPQCAAAAAA==&#10;" filled="f" stroked="f">
                  <v:path arrowok="t"/>
                  <o:lock v:ext="edit" aspectratio="t" text="t"/>
                </v:rect>
                <v:line id="Line 4" o:spid="_x0000_s1029" style="position:absolute;visibility:visible;mso-wrap-style:square" from="254,2561" to="5708,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69PwwAAANoAAAAPAAAAZHJzL2Rvd25yZXYueG1sRI9Ba8JA&#10;FITvBf/D8gre6iYetKauoRgKHmxBLT2/Zp/ZYPZtyG7j+u/dQqHHYWa+YdZltJ0YafCtYwX5LANB&#10;XDvdcqPg8/T29AzCB2SNnWNScCMP5WbysMZCuysfaDyGRiQI+wIVmBD6QkpfG7LoZ64nTt7ZDRZD&#10;kkMj9YDXBLednGfZQlpsOS0Y7GlrqL4cf6yCpakOcimr/emjGtt8Fd/j1/dKqeljfH0BESiG//Bf&#10;e6cVzOH3SroBcnMHAAD//wMAUEsBAi0AFAAGAAgAAAAhANvh9svuAAAAhQEAABMAAAAAAAAAAAAA&#10;AAAAAAAAAFtDb250ZW50X1R5cGVzXS54bWxQSwECLQAUAAYACAAAACEAWvQsW78AAAAVAQAACwAA&#10;AAAAAAAAAAAAAAAfAQAAX3JlbHMvLnJlbHNQSwECLQAUAAYACAAAACEAgkOvT8MAAADaAAAADwAA&#10;AAAAAAAAAAAAAAAHAgAAZHJzL2Rvd25yZXYueG1sUEsFBgAAAAADAAMAtwAAAPcCAAAAAA==&#10;">
                  <v:stroke endarrow="block"/>
                </v:line>
                <v:line id="Line 5" o:spid="_x0000_s1030" style="position:absolute;flip:y;visibility:visible;mso-wrap-style:square" from="614,0" to="615,2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rect id="Rectangle 6" o:spid="_x0000_s1031" style="position:absolute;left:793;top:1937;width:803;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6090D649" w14:textId="77777777" w:rsidR="00E859A8" w:rsidRDefault="00D94EFD">
                        <w:pPr>
                          <w:ind w:firstLineChars="49" w:firstLine="89"/>
                          <w:rPr>
                            <w:b/>
                            <w:sz w:val="18"/>
                            <w:szCs w:val="18"/>
                          </w:rPr>
                        </w:pPr>
                        <w:r>
                          <w:rPr>
                            <w:rFonts w:hint="eastAsia"/>
                            <w:b/>
                            <w:sz w:val="18"/>
                            <w:szCs w:val="18"/>
                          </w:rPr>
                          <w:t>PR1</w:t>
                        </w:r>
                      </w:p>
                    </w:txbxContent>
                  </v:textbox>
                </v:rect>
                <v:rect id="Rectangle 7" o:spid="_x0000_s1032" style="position:absolute;left:1605;top:1469;width:808;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fZlwwAAANoAAAAPAAAAZHJzL2Rvd25yZXYueG1sRI9Bi8Iw&#10;FITvwv6H8IS92VRBqdUo4u6KexGt4vnRPNti81KarNZ/bxYEj8PMfMPMl52pxY1aV1lWMIxiEMS5&#10;1RUXCk7Hn0ECwnlkjbVlUvAgB8vFR2+OqbZ3PtAt84UIEHYpKii9b1IpXV6SQRfZhjh4F9sa9EG2&#10;hdQt3gPc1HIUxxNpsOKwUGJD65Lya/ZnFGxOze81Wz9GyW4//s6Sr/P0sjsr9dnvVjMQnjr/Dr/a&#10;W61gDP9Xwg2QiycAAAD//wMAUEsBAi0AFAAGAAgAAAAhANvh9svuAAAAhQEAABMAAAAAAAAAAAAA&#10;AAAAAAAAAFtDb250ZW50X1R5cGVzXS54bWxQSwECLQAUAAYACAAAACEAWvQsW78AAAAVAQAACwAA&#10;AAAAAAAAAAAAAAAfAQAAX3JlbHMvLnJlbHNQSwECLQAUAAYACAAAACEAhrX2ZcMAAADaAAAADwAA&#10;AAAAAAAAAAAAAAAHAgAAZHJzL2Rvd25yZXYueG1sUEsFBgAAAAADAAMAtwAAAPcCAAAAAA==&#10;" fillcolor="yellow">
                  <v:textbox>
                    <w:txbxContent>
                      <w:p w14:paraId="67DDBBA6" w14:textId="77777777" w:rsidR="00E859A8" w:rsidRDefault="00D94EFD">
                        <w:pPr>
                          <w:ind w:firstLineChars="49" w:firstLine="89"/>
                          <w:rPr>
                            <w:b/>
                            <w:sz w:val="18"/>
                            <w:szCs w:val="18"/>
                          </w:rPr>
                        </w:pPr>
                        <w:r>
                          <w:rPr>
                            <w:rFonts w:hint="eastAsia"/>
                            <w:b/>
                            <w:sz w:val="18"/>
                            <w:szCs w:val="18"/>
                          </w:rPr>
                          <w:t>PR2</w:t>
                        </w:r>
                      </w:p>
                    </w:txbxContent>
                  </v:textbox>
                </v:rect>
                <v:rect id="Rectangle 8" o:spid="_x0000_s1033" style="position:absolute;left:2415;top:1001;width:81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57D4533D" w14:textId="77777777" w:rsidR="00E859A8" w:rsidRDefault="00D94EFD">
                        <w:pPr>
                          <w:ind w:firstLineChars="49" w:firstLine="89"/>
                          <w:rPr>
                            <w:b/>
                            <w:sz w:val="18"/>
                            <w:szCs w:val="18"/>
                          </w:rPr>
                        </w:pPr>
                        <w:r>
                          <w:rPr>
                            <w:rFonts w:hint="eastAsia"/>
                            <w:b/>
                            <w:sz w:val="18"/>
                            <w:szCs w:val="18"/>
                          </w:rPr>
                          <w:t>PR3</w:t>
                        </w:r>
                      </w:p>
                    </w:txbxContent>
                  </v:textbox>
                </v:rect>
                <v:rect id="Rectangle 9" o:spid="_x0000_s1034" style="position:absolute;left:3225;top:533;width:823;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5D6078A4" w14:textId="77777777" w:rsidR="00E859A8" w:rsidRDefault="00D94EFD">
                        <w:pPr>
                          <w:ind w:firstLineChars="49" w:firstLine="89"/>
                          <w:rPr>
                            <w:b/>
                            <w:sz w:val="18"/>
                            <w:szCs w:val="18"/>
                          </w:rPr>
                        </w:pPr>
                        <w:r>
                          <w:rPr>
                            <w:rFonts w:hint="eastAsia"/>
                            <w:b/>
                            <w:sz w:val="18"/>
                            <w:szCs w:val="18"/>
                          </w:rPr>
                          <w:t>PR4</w:t>
                        </w:r>
                      </w:p>
                    </w:txbxContent>
                  </v:textbox>
                </v:rect>
                <v:rect id="Rectangle 10" o:spid="_x0000_s1035" style="position:absolute;left:4048;top:65;width:841;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14:paraId="17A9C681" w14:textId="77777777" w:rsidR="00E859A8" w:rsidRDefault="00D94EFD">
                        <w:pPr>
                          <w:ind w:firstLineChars="49" w:firstLine="89"/>
                          <w:rPr>
                            <w:b/>
                            <w:sz w:val="18"/>
                            <w:szCs w:val="18"/>
                          </w:rPr>
                        </w:pPr>
                        <w:r>
                          <w:rPr>
                            <w:rFonts w:hint="eastAsia"/>
                            <w:b/>
                            <w:sz w:val="18"/>
                            <w:szCs w:val="18"/>
                          </w:rPr>
                          <w:t>PR5</w:t>
                        </w:r>
                      </w:p>
                    </w:txbxContent>
                  </v:textbox>
                </v:rect>
                <v:rect id="Rectangle 11" o:spid="_x0000_s1036" style="position:absolute;left:3630;top:2600;width:2558;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h3wgAAANoAAAAPAAAAZHJzL2Rvd25yZXYueG1sRI9Pi8Iw&#10;FMTvgt8hPMGbJq67RatRZEEQ1j34B7w+mmdbbF5qE7V+e7Ow4HGYmd8w82VrK3GnxpeONYyGCgRx&#10;5kzJuYbjYT2YgPAB2WDlmDQ8ycNy0e3MMTXuwTu670MuIoR9ihqKEOpUSp8VZNEPXU0cvbNrLIYo&#10;m1yaBh8Rbiv5oVQiLZYcFwqs6bug7LK/WQ2YfJrr73m8PfzcEpzmrVp/nZTW/V67moEI1IZ3+L+9&#10;MRqm8Hcl3gC5eAEAAP//AwBQSwECLQAUAAYACAAAACEA2+H2y+4AAACFAQAAEwAAAAAAAAAAAAAA&#10;AAAAAAAAW0NvbnRlbnRfVHlwZXNdLnhtbFBLAQItABQABgAIAAAAIQBa9CxbvwAAABUBAAALAAAA&#10;AAAAAAAAAAAAAB8BAABfcmVscy8ucmVsc1BLAQItABQABgAIAAAAIQCYEbh3wgAAANoAAAAPAAAA&#10;AAAAAAAAAAAAAAcCAABkcnMvZG93bnJldi54bWxQSwUGAAAAAAMAAwC3AAAA9gIAAAAA&#10;" stroked="f">
                  <v:textbox>
                    <w:txbxContent>
                      <w:p w14:paraId="5B3F2699" w14:textId="77777777" w:rsidR="00E859A8" w:rsidRDefault="00D94EFD">
                        <w:pPr>
                          <w:jc w:val="center"/>
                          <w:rPr>
                            <w:sz w:val="18"/>
                            <w:szCs w:val="18"/>
                          </w:rPr>
                        </w:pPr>
                        <w:r>
                          <w:rPr>
                            <w:rFonts w:hint="eastAsia"/>
                            <w:sz w:val="18"/>
                            <w:szCs w:val="18"/>
                          </w:rPr>
                          <w:t>风险程度</w:t>
                        </w:r>
                      </w:p>
                    </w:txbxContent>
                  </v:textbox>
                </v:rect>
                <w10:anchorlock/>
              </v:group>
            </w:pict>
          </mc:Fallback>
        </mc:AlternateContent>
      </w:r>
    </w:p>
    <w:p w14:paraId="3C86C1CF" w14:textId="77777777" w:rsidR="00E859A8" w:rsidRDefault="00D94EFD">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w:t>
      </w:r>
      <w:r>
        <w:rPr>
          <w:rFonts w:hint="eastAsia"/>
          <w:sz w:val="18"/>
          <w:szCs w:val="18"/>
        </w:rPr>
        <w:t>PR2</w:t>
      </w:r>
      <w:r>
        <w:rPr>
          <w:rFonts w:hint="eastAsia"/>
          <w:sz w:val="18"/>
          <w:szCs w:val="18"/>
        </w:rPr>
        <w:t>。该评级仅是温州银行内部测评结果，仅供投资者参考，不具有任何法律约束力。</w:t>
      </w:r>
    </w:p>
    <w:p w14:paraId="18C6057B" w14:textId="77777777" w:rsidR="00E859A8" w:rsidRDefault="00D94EFD">
      <w:pPr>
        <w:adjustRightInd w:val="0"/>
        <w:snapToGrid w:val="0"/>
        <w:spacing w:line="300" w:lineRule="auto"/>
        <w:rPr>
          <w:b/>
          <w:sz w:val="18"/>
          <w:szCs w:val="18"/>
        </w:rPr>
      </w:pPr>
      <w:r>
        <w:rPr>
          <w:rFonts w:hint="eastAsia"/>
          <w:b/>
          <w:sz w:val="18"/>
          <w:szCs w:val="18"/>
        </w:rPr>
        <w:t>产品概述</w:t>
      </w:r>
    </w:p>
    <w:tbl>
      <w:tblPr>
        <w:tblpPr w:leftFromText="180" w:rightFromText="180" w:vertAnchor="text" w:horzAnchor="page" w:tblpX="1239" w:tblpY="32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1499"/>
        <w:gridCol w:w="7918"/>
      </w:tblGrid>
      <w:tr w:rsidR="00E859A8" w14:paraId="52C0716B" w14:textId="77777777">
        <w:trPr>
          <w:trHeight w:val="253"/>
        </w:trPr>
        <w:tc>
          <w:tcPr>
            <w:tcW w:w="1499" w:type="dxa"/>
            <w:tcBorders>
              <w:top w:val="single" w:sz="4" w:space="0" w:color="auto"/>
              <w:left w:val="single" w:sz="4" w:space="0" w:color="auto"/>
              <w:bottom w:val="single" w:sz="4" w:space="0" w:color="auto"/>
              <w:right w:val="single" w:sz="4" w:space="0" w:color="auto"/>
            </w:tcBorders>
            <w:vAlign w:val="center"/>
          </w:tcPr>
          <w:p w14:paraId="7FCD0D02"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产品名称</w:t>
            </w:r>
          </w:p>
        </w:tc>
        <w:tc>
          <w:tcPr>
            <w:tcW w:w="7918" w:type="dxa"/>
            <w:tcBorders>
              <w:top w:val="single" w:sz="4" w:space="0" w:color="auto"/>
              <w:left w:val="single" w:sz="4" w:space="0" w:color="auto"/>
              <w:bottom w:val="single" w:sz="4" w:space="0" w:color="auto"/>
              <w:right w:val="single" w:sz="4" w:space="0" w:color="auto"/>
            </w:tcBorders>
            <w:vAlign w:val="center"/>
          </w:tcPr>
          <w:p w14:paraId="7878F0F2" w14:textId="721153F2"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w:t>
            </w:r>
            <w:r>
              <w:rPr>
                <w:rFonts w:hint="eastAsia"/>
                <w:sz w:val="18"/>
                <w:szCs w:val="18"/>
              </w:rPr>
              <w:t>“金鹿理财</w:t>
            </w:r>
            <w:r>
              <w:rPr>
                <w:rFonts w:hint="eastAsia"/>
                <w:sz w:val="18"/>
                <w:szCs w:val="18"/>
              </w:rPr>
              <w:t>-</w:t>
            </w:r>
            <w:r>
              <w:rPr>
                <w:rFonts w:hint="eastAsia"/>
                <w:sz w:val="18"/>
                <w:szCs w:val="18"/>
              </w:rPr>
              <w:t>普惠颐养”</w:t>
            </w:r>
            <w:r>
              <w:rPr>
                <w:color w:val="000000"/>
                <w:sz w:val="18"/>
                <w:szCs w:val="18"/>
                <w:u w:val="single"/>
              </w:rPr>
              <w:t>2100</w:t>
            </w:r>
            <w:r w:rsidR="006B4521">
              <w:rPr>
                <w:color w:val="000000"/>
                <w:sz w:val="18"/>
                <w:szCs w:val="18"/>
                <w:u w:val="single"/>
              </w:rPr>
              <w:t>5</w:t>
            </w:r>
            <w:r>
              <w:rPr>
                <w:rFonts w:hint="eastAsia"/>
                <w:sz w:val="18"/>
                <w:szCs w:val="18"/>
              </w:rPr>
              <w:t>号开放式净值型银行理财计划</w:t>
            </w:r>
          </w:p>
        </w:tc>
      </w:tr>
      <w:tr w:rsidR="00E859A8" w14:paraId="62EC12C6" w14:textId="77777777">
        <w:tc>
          <w:tcPr>
            <w:tcW w:w="1499" w:type="dxa"/>
            <w:tcBorders>
              <w:top w:val="single" w:sz="4" w:space="0" w:color="auto"/>
              <w:left w:val="single" w:sz="4" w:space="0" w:color="auto"/>
              <w:bottom w:val="single" w:sz="4" w:space="0" w:color="auto"/>
              <w:right w:val="single" w:sz="4" w:space="0" w:color="auto"/>
            </w:tcBorders>
            <w:vAlign w:val="center"/>
          </w:tcPr>
          <w:p w14:paraId="3BCBF94D"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产品编号</w:t>
            </w:r>
          </w:p>
        </w:tc>
        <w:tc>
          <w:tcPr>
            <w:tcW w:w="7918" w:type="dxa"/>
            <w:tcBorders>
              <w:top w:val="single" w:sz="4" w:space="0" w:color="auto"/>
              <w:left w:val="single" w:sz="4" w:space="0" w:color="auto"/>
              <w:bottom w:val="single" w:sz="4" w:space="0" w:color="auto"/>
              <w:right w:val="single" w:sz="4" w:space="0" w:color="auto"/>
            </w:tcBorders>
            <w:vAlign w:val="center"/>
          </w:tcPr>
          <w:p w14:paraId="1B27DA3D" w14:textId="573962C7" w:rsidR="00E859A8" w:rsidRDefault="00D94EFD">
            <w:pPr>
              <w:pStyle w:val="msonormalcxspmiddle"/>
              <w:adjustRightInd w:val="0"/>
              <w:snapToGrid w:val="0"/>
              <w:spacing w:before="0" w:beforeAutospacing="0" w:after="0" w:afterAutospacing="0" w:line="288" w:lineRule="auto"/>
              <w:jc w:val="center"/>
              <w:rPr>
                <w:sz w:val="18"/>
                <w:szCs w:val="18"/>
              </w:rPr>
            </w:pPr>
            <w:r>
              <w:rPr>
                <w:rFonts w:hint="eastAsia"/>
                <w:color w:val="000000"/>
                <w:sz w:val="18"/>
                <w:szCs w:val="18"/>
              </w:rPr>
              <w:t>PY210</w:t>
            </w:r>
            <w:r w:rsidR="006B4521">
              <w:rPr>
                <w:color w:val="000000"/>
                <w:sz w:val="18"/>
                <w:szCs w:val="18"/>
              </w:rPr>
              <w:t>5</w:t>
            </w:r>
          </w:p>
        </w:tc>
      </w:tr>
      <w:tr w:rsidR="00E859A8" w14:paraId="516F64CA" w14:textId="77777777">
        <w:tc>
          <w:tcPr>
            <w:tcW w:w="1499" w:type="dxa"/>
            <w:tcBorders>
              <w:top w:val="single" w:sz="4" w:space="0" w:color="auto"/>
              <w:left w:val="single" w:sz="4" w:space="0" w:color="auto"/>
              <w:bottom w:val="single" w:sz="4" w:space="0" w:color="auto"/>
              <w:right w:val="single" w:sz="4" w:space="0" w:color="auto"/>
            </w:tcBorders>
            <w:vAlign w:val="center"/>
          </w:tcPr>
          <w:p w14:paraId="1599341D" w14:textId="77777777" w:rsidR="00E859A8" w:rsidRDefault="00D94EF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sz="4" w:space="0" w:color="auto"/>
              <w:left w:val="single" w:sz="4" w:space="0" w:color="auto"/>
              <w:bottom w:val="single" w:sz="4" w:space="0" w:color="auto"/>
              <w:right w:val="single" w:sz="4" w:space="0" w:color="auto"/>
            </w:tcBorders>
            <w:vAlign w:val="center"/>
          </w:tcPr>
          <w:p w14:paraId="034DAF61" w14:textId="77777777" w:rsidR="006B4521" w:rsidRPr="00D36208" w:rsidRDefault="006B4521" w:rsidP="006B4521">
            <w:pPr>
              <w:pStyle w:val="msonormalcxspmiddle"/>
              <w:adjustRightInd w:val="0"/>
              <w:snapToGrid w:val="0"/>
              <w:spacing w:before="0" w:beforeAutospacing="0" w:after="0" w:afterAutospacing="0" w:line="288" w:lineRule="auto"/>
              <w:jc w:val="center"/>
              <w:rPr>
                <w:rFonts w:hAnsi="Calibri"/>
                <w:sz w:val="18"/>
                <w:szCs w:val="18"/>
              </w:rPr>
            </w:pPr>
            <w:r w:rsidRPr="00A00C20">
              <w:rPr>
                <w:rFonts w:hAnsi="Calibri"/>
                <w:sz w:val="18"/>
                <w:szCs w:val="18"/>
              </w:rPr>
              <w:t>C</w:t>
            </w:r>
            <w:r>
              <w:rPr>
                <w:rFonts w:hAnsi="Calibri"/>
                <w:sz w:val="18"/>
                <w:szCs w:val="18"/>
              </w:rPr>
              <w:t>109</w:t>
            </w:r>
            <w:r>
              <w:rPr>
                <w:rFonts w:hAnsi="Calibri" w:hint="eastAsia"/>
                <w:sz w:val="18"/>
                <w:szCs w:val="18"/>
              </w:rPr>
              <w:t>2</w:t>
            </w:r>
            <w:r w:rsidRPr="00A00C20">
              <w:rPr>
                <w:rFonts w:hAnsi="Calibri"/>
                <w:sz w:val="18"/>
                <w:szCs w:val="18"/>
              </w:rPr>
              <w:t>221000031</w:t>
            </w:r>
          </w:p>
          <w:p w14:paraId="5407FC85" w14:textId="77777777" w:rsidR="00E859A8" w:rsidRDefault="00D94EFD">
            <w:pPr>
              <w:pStyle w:val="msonormalcxspmiddle"/>
              <w:adjustRightInd w:val="0"/>
              <w:snapToGrid w:val="0"/>
              <w:spacing w:before="0" w:beforeAutospacing="0" w:after="0" w:afterAutospacing="0" w:line="288" w:lineRule="auto"/>
              <w:jc w:val="center"/>
              <w:rPr>
                <w:rFonts w:hAnsi="Calibri"/>
                <w:sz w:val="18"/>
                <w:szCs w:val="18"/>
              </w:rPr>
            </w:pPr>
            <w:r>
              <w:rPr>
                <w:rFonts w:hAnsi="Calibri"/>
                <w:sz w:val="18"/>
                <w:szCs w:val="18"/>
              </w:rPr>
              <w:t>(</w:t>
            </w: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r>
              <w:rPr>
                <w:rFonts w:hAnsi="Calibri"/>
                <w:sz w:val="18"/>
                <w:szCs w:val="18"/>
              </w:rPr>
              <w:t>)</w:t>
            </w:r>
          </w:p>
        </w:tc>
      </w:tr>
      <w:tr w:rsidR="00E859A8" w14:paraId="003EAD66" w14:textId="77777777">
        <w:tc>
          <w:tcPr>
            <w:tcW w:w="1499" w:type="dxa"/>
            <w:tcBorders>
              <w:top w:val="single" w:sz="4" w:space="0" w:color="auto"/>
              <w:left w:val="single" w:sz="4" w:space="0" w:color="auto"/>
              <w:bottom w:val="single" w:sz="4" w:space="0" w:color="auto"/>
              <w:right w:val="single" w:sz="4" w:space="0" w:color="auto"/>
            </w:tcBorders>
            <w:vAlign w:val="center"/>
          </w:tcPr>
          <w:p w14:paraId="397A777E"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lastRenderedPageBreak/>
              <w:t>投资类型</w:t>
            </w:r>
          </w:p>
        </w:tc>
        <w:tc>
          <w:tcPr>
            <w:tcW w:w="7918" w:type="dxa"/>
            <w:tcBorders>
              <w:top w:val="single" w:sz="4" w:space="0" w:color="auto"/>
              <w:left w:val="single" w:sz="4" w:space="0" w:color="auto"/>
              <w:bottom w:val="single" w:sz="4" w:space="0" w:color="auto"/>
              <w:right w:val="single" w:sz="4" w:space="0" w:color="auto"/>
            </w:tcBorders>
            <w:vAlign w:val="center"/>
          </w:tcPr>
          <w:p w14:paraId="2A46FC02"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rsidR="00E859A8" w14:paraId="68D970D3" w14:textId="77777777">
        <w:tc>
          <w:tcPr>
            <w:tcW w:w="1499" w:type="dxa"/>
            <w:tcBorders>
              <w:top w:val="single" w:sz="4" w:space="0" w:color="auto"/>
              <w:left w:val="single" w:sz="4" w:space="0" w:color="auto"/>
              <w:bottom w:val="single" w:sz="4" w:space="0" w:color="auto"/>
              <w:right w:val="single" w:sz="4" w:space="0" w:color="auto"/>
            </w:tcBorders>
            <w:vAlign w:val="center"/>
          </w:tcPr>
          <w:p w14:paraId="7F8EDF44"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募集方式</w:t>
            </w:r>
          </w:p>
        </w:tc>
        <w:tc>
          <w:tcPr>
            <w:tcW w:w="7918" w:type="dxa"/>
            <w:tcBorders>
              <w:top w:val="single" w:sz="4" w:space="0" w:color="auto"/>
              <w:left w:val="single" w:sz="4" w:space="0" w:color="auto"/>
              <w:bottom w:val="single" w:sz="4" w:space="0" w:color="auto"/>
              <w:right w:val="single" w:sz="4" w:space="0" w:color="auto"/>
            </w:tcBorders>
            <w:vAlign w:val="center"/>
          </w:tcPr>
          <w:p w14:paraId="27184345" w14:textId="77777777" w:rsidR="00E859A8" w:rsidRDefault="00D94EF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公募</w:t>
            </w:r>
          </w:p>
        </w:tc>
      </w:tr>
      <w:tr w:rsidR="00E859A8" w14:paraId="4101A4C1" w14:textId="77777777">
        <w:tc>
          <w:tcPr>
            <w:tcW w:w="1499" w:type="dxa"/>
            <w:tcBorders>
              <w:top w:val="single" w:sz="4" w:space="0" w:color="auto"/>
              <w:left w:val="single" w:sz="4" w:space="0" w:color="auto"/>
              <w:bottom w:val="single" w:sz="4" w:space="0" w:color="auto"/>
              <w:right w:val="single" w:sz="4" w:space="0" w:color="auto"/>
            </w:tcBorders>
            <w:vAlign w:val="center"/>
          </w:tcPr>
          <w:p w14:paraId="78CA48C8"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风险评级</w:t>
            </w:r>
          </w:p>
        </w:tc>
        <w:tc>
          <w:tcPr>
            <w:tcW w:w="7918" w:type="dxa"/>
            <w:tcBorders>
              <w:top w:val="single" w:sz="4" w:space="0" w:color="auto"/>
              <w:left w:val="single" w:sz="4" w:space="0" w:color="auto"/>
              <w:bottom w:val="single" w:sz="4" w:space="0" w:color="auto"/>
              <w:right w:val="single" w:sz="4" w:space="0" w:color="auto"/>
            </w:tcBorders>
            <w:vAlign w:val="center"/>
          </w:tcPr>
          <w:p w14:paraId="035723B6" w14:textId="77777777" w:rsidR="00E859A8" w:rsidRDefault="00D94EFD">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根据温州银行内部风险评级标准，本产品的风险等级为</w:t>
            </w:r>
            <w:r>
              <w:rPr>
                <w:rFonts w:cs="Times New Roman" w:hint="eastAsia"/>
                <w:sz w:val="18"/>
                <w:szCs w:val="18"/>
              </w:rPr>
              <w:t>PR2</w:t>
            </w:r>
            <w:r>
              <w:rPr>
                <w:rFonts w:cs="Times New Roman" w:hint="eastAsia"/>
                <w:sz w:val="18"/>
                <w:szCs w:val="18"/>
              </w:rPr>
              <w:t>级（稳健型）：总体风险程度较低，银行不承诺本金保障，产品收益随投资表现变动。</w:t>
            </w:r>
          </w:p>
        </w:tc>
      </w:tr>
      <w:tr w:rsidR="00E859A8" w14:paraId="115AEE9C" w14:textId="77777777">
        <w:tc>
          <w:tcPr>
            <w:tcW w:w="1499" w:type="dxa"/>
            <w:tcBorders>
              <w:top w:val="single" w:sz="4" w:space="0" w:color="auto"/>
              <w:left w:val="single" w:sz="4" w:space="0" w:color="auto"/>
              <w:bottom w:val="single" w:sz="4" w:space="0" w:color="auto"/>
              <w:right w:val="single" w:sz="4" w:space="0" w:color="auto"/>
            </w:tcBorders>
            <w:vAlign w:val="center"/>
          </w:tcPr>
          <w:p w14:paraId="771A5D52"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适合客户</w:t>
            </w:r>
          </w:p>
        </w:tc>
        <w:tc>
          <w:tcPr>
            <w:tcW w:w="7918" w:type="dxa"/>
            <w:tcBorders>
              <w:top w:val="single" w:sz="4" w:space="0" w:color="auto"/>
              <w:left w:val="single" w:sz="4" w:space="0" w:color="auto"/>
              <w:bottom w:val="single" w:sz="4" w:space="0" w:color="auto"/>
              <w:right w:val="single" w:sz="4" w:space="0" w:color="auto"/>
            </w:tcBorders>
            <w:vAlign w:val="center"/>
          </w:tcPr>
          <w:p w14:paraId="497B117E"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经温州银行评估为稳健型、平衡型、进取型、激进型的个人投资者</w:t>
            </w:r>
          </w:p>
        </w:tc>
      </w:tr>
      <w:tr w:rsidR="00E859A8" w14:paraId="4FEE7EE3" w14:textId="77777777">
        <w:tc>
          <w:tcPr>
            <w:tcW w:w="1499" w:type="dxa"/>
            <w:tcBorders>
              <w:top w:val="single" w:sz="4" w:space="0" w:color="auto"/>
              <w:left w:val="single" w:sz="4" w:space="0" w:color="auto"/>
              <w:bottom w:val="single" w:sz="4" w:space="0" w:color="auto"/>
              <w:right w:val="single" w:sz="4" w:space="0" w:color="auto"/>
            </w:tcBorders>
            <w:vAlign w:val="center"/>
          </w:tcPr>
          <w:p w14:paraId="6880965C"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交易币种</w:t>
            </w:r>
          </w:p>
        </w:tc>
        <w:tc>
          <w:tcPr>
            <w:tcW w:w="7918" w:type="dxa"/>
            <w:tcBorders>
              <w:top w:val="single" w:sz="4" w:space="0" w:color="auto"/>
              <w:left w:val="single" w:sz="4" w:space="0" w:color="auto"/>
              <w:bottom w:val="single" w:sz="4" w:space="0" w:color="auto"/>
              <w:right w:val="single" w:sz="4" w:space="0" w:color="auto"/>
            </w:tcBorders>
            <w:vAlign w:val="center"/>
          </w:tcPr>
          <w:p w14:paraId="28153066"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人民币</w:t>
            </w:r>
          </w:p>
        </w:tc>
      </w:tr>
      <w:tr w:rsidR="00E859A8" w14:paraId="26C05BF0" w14:textId="77777777">
        <w:tc>
          <w:tcPr>
            <w:tcW w:w="1499" w:type="dxa"/>
            <w:tcBorders>
              <w:top w:val="single" w:sz="4" w:space="0" w:color="auto"/>
              <w:left w:val="single" w:sz="4" w:space="0" w:color="auto"/>
              <w:bottom w:val="single" w:sz="4" w:space="0" w:color="auto"/>
              <w:right w:val="single" w:sz="4" w:space="0" w:color="auto"/>
            </w:tcBorders>
            <w:vAlign w:val="center"/>
          </w:tcPr>
          <w:p w14:paraId="0B86AF66"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计划发行量</w:t>
            </w:r>
          </w:p>
        </w:tc>
        <w:tc>
          <w:tcPr>
            <w:tcW w:w="7918" w:type="dxa"/>
            <w:tcBorders>
              <w:top w:val="single" w:sz="4" w:space="0" w:color="auto"/>
              <w:left w:val="single" w:sz="4" w:space="0" w:color="auto"/>
              <w:bottom w:val="single" w:sz="4" w:space="0" w:color="auto"/>
              <w:right w:val="single" w:sz="4" w:space="0" w:color="auto"/>
            </w:tcBorders>
            <w:vAlign w:val="center"/>
          </w:tcPr>
          <w:p w14:paraId="490382DE" w14:textId="77777777" w:rsidR="00E859A8" w:rsidRDefault="00D94EFD">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发行规模上限</w:t>
            </w:r>
            <w:r>
              <w:rPr>
                <w:rFonts w:cs="Times New Roman" w:hint="eastAsia"/>
                <w:sz w:val="18"/>
                <w:szCs w:val="18"/>
              </w:rPr>
              <w:t>10</w:t>
            </w:r>
            <w:r>
              <w:rPr>
                <w:rFonts w:cs="Times New Roman" w:hint="eastAsia"/>
                <w:sz w:val="18"/>
                <w:szCs w:val="18"/>
              </w:rPr>
              <w:t>亿份，首个投资运作周期发行规模不超过</w:t>
            </w:r>
            <w:r>
              <w:rPr>
                <w:rFonts w:cs="Times New Roman" w:hint="eastAsia"/>
                <w:sz w:val="18"/>
                <w:szCs w:val="18"/>
              </w:rPr>
              <w:t>2</w:t>
            </w:r>
            <w:r>
              <w:rPr>
                <w:rFonts w:cs="Times New Roman" w:hint="eastAsia"/>
                <w:sz w:val="18"/>
                <w:szCs w:val="18"/>
              </w:rPr>
              <w:t>亿份。若产品发行规模超出上限，温州银行有权暂停接受认购（申购）申请。（温州银行有权根据产品募集和市场情况调整计划发行量。若认购（申购）期内实际募集金额超过计划发行量，则以实际募集金额为准。）</w:t>
            </w:r>
          </w:p>
        </w:tc>
      </w:tr>
      <w:tr w:rsidR="00E859A8" w14:paraId="3FCE075E" w14:textId="77777777">
        <w:tc>
          <w:tcPr>
            <w:tcW w:w="1499" w:type="dxa"/>
            <w:tcBorders>
              <w:top w:val="single" w:sz="4" w:space="0" w:color="auto"/>
              <w:left w:val="single" w:sz="4" w:space="0" w:color="auto"/>
              <w:bottom w:val="single" w:sz="4" w:space="0" w:color="auto"/>
              <w:right w:val="single" w:sz="4" w:space="0" w:color="auto"/>
            </w:tcBorders>
            <w:vAlign w:val="center"/>
          </w:tcPr>
          <w:p w14:paraId="3C93BF22"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首次认购期</w:t>
            </w:r>
          </w:p>
        </w:tc>
        <w:tc>
          <w:tcPr>
            <w:tcW w:w="7918" w:type="dxa"/>
            <w:tcBorders>
              <w:top w:val="single" w:sz="4" w:space="0" w:color="auto"/>
              <w:left w:val="single" w:sz="4" w:space="0" w:color="auto"/>
              <w:bottom w:val="single" w:sz="4" w:space="0" w:color="auto"/>
              <w:right w:val="single" w:sz="4" w:space="0" w:color="auto"/>
            </w:tcBorders>
            <w:vAlign w:val="center"/>
          </w:tcPr>
          <w:p w14:paraId="0B1856FE" w14:textId="13F29014" w:rsidR="00E859A8" w:rsidRDefault="006B4521">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2021年2月3日至2021年2月8日</w:t>
            </w:r>
          </w:p>
        </w:tc>
      </w:tr>
      <w:tr w:rsidR="00E859A8" w14:paraId="23571520" w14:textId="77777777">
        <w:tc>
          <w:tcPr>
            <w:tcW w:w="1499" w:type="dxa"/>
            <w:tcBorders>
              <w:top w:val="single" w:sz="4" w:space="0" w:color="auto"/>
              <w:left w:val="single" w:sz="4" w:space="0" w:color="auto"/>
              <w:bottom w:val="single" w:sz="4" w:space="0" w:color="auto"/>
              <w:right w:val="single" w:sz="4" w:space="0" w:color="auto"/>
            </w:tcBorders>
            <w:vAlign w:val="center"/>
          </w:tcPr>
          <w:p w14:paraId="5DFD8AB9"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w:t>
            </w:r>
            <w:r>
              <w:rPr>
                <w:rFonts w:cs="Times New Roman"/>
                <w:sz w:val="18"/>
                <w:szCs w:val="18"/>
              </w:rPr>
              <w:t>比较基准</w:t>
            </w:r>
          </w:p>
        </w:tc>
        <w:tc>
          <w:tcPr>
            <w:tcW w:w="7918" w:type="dxa"/>
            <w:tcBorders>
              <w:top w:val="single" w:sz="4" w:space="0" w:color="auto"/>
              <w:left w:val="single" w:sz="4" w:space="0" w:color="auto"/>
              <w:bottom w:val="single" w:sz="4" w:space="0" w:color="auto"/>
              <w:right w:val="single" w:sz="4" w:space="0" w:color="auto"/>
            </w:tcBorders>
            <w:vAlign w:val="center"/>
          </w:tcPr>
          <w:p w14:paraId="62BFB26C" w14:textId="77777777" w:rsidR="00E859A8" w:rsidRDefault="00D94EFD">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color w:val="000000"/>
                <w:sz w:val="18"/>
                <w:szCs w:val="18"/>
              </w:rPr>
              <w:t>首个投资运作周期的业绩比较基准为</w:t>
            </w:r>
            <w:r>
              <w:rPr>
                <w:rFonts w:cs="Times New Roman" w:hint="eastAsia"/>
                <w:color w:val="000000"/>
                <w:sz w:val="18"/>
                <w:szCs w:val="18"/>
              </w:rPr>
              <w:t>4.7%</w:t>
            </w:r>
            <w:r>
              <w:rPr>
                <w:rFonts w:cs="Times New Roman" w:hint="eastAsia"/>
                <w:color w:val="000000"/>
                <w:sz w:val="18"/>
                <w:szCs w:val="18"/>
              </w:rPr>
              <w:t>（年化）</w:t>
            </w:r>
            <w:r>
              <w:rPr>
                <w:rFonts w:cs="Times New Roman"/>
                <w:sz w:val="18"/>
                <w:szCs w:val="18"/>
              </w:rPr>
              <w:t>。</w:t>
            </w:r>
            <w:r>
              <w:rPr>
                <w:rFonts w:cs="Times New Roman" w:hint="eastAsia"/>
                <w:sz w:val="18"/>
                <w:szCs w:val="18"/>
              </w:rPr>
              <w:t>温州</w:t>
            </w:r>
            <w:r>
              <w:rPr>
                <w:rFonts w:cs="Times New Roman"/>
                <w:sz w:val="18"/>
                <w:szCs w:val="18"/>
              </w:rPr>
              <w:t>银行有权在</w:t>
            </w:r>
            <w:r>
              <w:rPr>
                <w:rFonts w:cs="Times New Roman" w:hint="eastAsia"/>
                <w:sz w:val="18"/>
                <w:szCs w:val="18"/>
              </w:rPr>
              <w:t>每个</w:t>
            </w:r>
            <w:r>
              <w:rPr>
                <w:rFonts w:cs="Times New Roman"/>
                <w:sz w:val="18"/>
                <w:szCs w:val="18"/>
              </w:rPr>
              <w:t>开放</w:t>
            </w:r>
            <w:r>
              <w:rPr>
                <w:rFonts w:cs="Times New Roman" w:hint="eastAsia"/>
                <w:sz w:val="18"/>
                <w:szCs w:val="18"/>
              </w:rPr>
              <w:t>期</w:t>
            </w:r>
            <w:r>
              <w:rPr>
                <w:rFonts w:cs="Times New Roman"/>
                <w:sz w:val="18"/>
                <w:szCs w:val="18"/>
              </w:rPr>
              <w:t>前</w:t>
            </w:r>
            <w:r>
              <w:rPr>
                <w:rFonts w:cs="Times New Roman" w:hint="eastAsia"/>
                <w:sz w:val="18"/>
                <w:szCs w:val="18"/>
              </w:rPr>
              <w:t>，根据市场情况进行调整，该</w:t>
            </w:r>
            <w:r>
              <w:rPr>
                <w:rFonts w:cs="Times New Roman"/>
                <w:sz w:val="18"/>
                <w:szCs w:val="18"/>
              </w:rPr>
              <w:t>调整将通过</w:t>
            </w:r>
            <w:r>
              <w:rPr>
                <w:rFonts w:cs="Times New Roman" w:hint="eastAsia"/>
                <w:sz w:val="18"/>
                <w:szCs w:val="18"/>
              </w:rPr>
              <w:t>温州银行官方网站</w:t>
            </w:r>
            <w:r>
              <w:rPr>
                <w:rFonts w:hint="eastAsia"/>
                <w:sz w:val="18"/>
                <w:szCs w:val="18"/>
              </w:rPr>
              <w:t>或电子银行等信息平台</w:t>
            </w:r>
            <w:r>
              <w:rPr>
                <w:rFonts w:cs="Times New Roman" w:hint="eastAsia"/>
                <w:sz w:val="18"/>
                <w:szCs w:val="18"/>
              </w:rPr>
              <w:t>进行</w:t>
            </w:r>
            <w:r>
              <w:rPr>
                <w:rFonts w:cs="Times New Roman"/>
                <w:sz w:val="18"/>
                <w:szCs w:val="18"/>
              </w:rPr>
              <w:t>信息</w:t>
            </w:r>
            <w:r>
              <w:rPr>
                <w:rFonts w:cs="Times New Roman" w:hint="eastAsia"/>
                <w:sz w:val="18"/>
                <w:szCs w:val="18"/>
              </w:rPr>
              <w:t>披露</w:t>
            </w:r>
            <w:r>
              <w:rPr>
                <w:rFonts w:cs="Times New Roman"/>
                <w:sz w:val="18"/>
                <w:szCs w:val="18"/>
              </w:rPr>
              <w:t>。</w:t>
            </w:r>
          </w:p>
          <w:p w14:paraId="6F2CC38E" w14:textId="77777777" w:rsidR="00E859A8" w:rsidRDefault="00D94EFD">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cs="Times New Roman" w:hint="eastAsia"/>
                <w:sz w:val="18"/>
                <w:szCs w:val="18"/>
              </w:rPr>
              <w:t>投资</w:t>
            </w:r>
            <w:r>
              <w:rPr>
                <w:rFonts w:cs="Times New Roman"/>
                <w:sz w:val="18"/>
                <w:szCs w:val="18"/>
              </w:rPr>
              <w:t>收益水平，在产品说明书约定的投资范围和投资比例内</w:t>
            </w:r>
            <w:r>
              <w:rPr>
                <w:rFonts w:cs="Times New Roman" w:hint="eastAsia"/>
                <w:sz w:val="18"/>
                <w:szCs w:val="18"/>
              </w:rPr>
              <w:t>，结合当前利率水平、资产配比及市场同类型产品情况，经综合判断得出。</w:t>
            </w:r>
          </w:p>
        </w:tc>
      </w:tr>
      <w:tr w:rsidR="00E859A8" w14:paraId="22850F2C" w14:textId="77777777">
        <w:tc>
          <w:tcPr>
            <w:tcW w:w="1499" w:type="dxa"/>
            <w:tcBorders>
              <w:top w:val="single" w:sz="4" w:space="0" w:color="auto"/>
              <w:left w:val="single" w:sz="4" w:space="0" w:color="auto"/>
              <w:bottom w:val="single" w:sz="4" w:space="0" w:color="auto"/>
              <w:right w:val="single" w:sz="4" w:space="0" w:color="auto"/>
            </w:tcBorders>
            <w:vAlign w:val="center"/>
          </w:tcPr>
          <w:p w14:paraId="5ED22DE3"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产品成立</w:t>
            </w:r>
          </w:p>
        </w:tc>
        <w:tc>
          <w:tcPr>
            <w:tcW w:w="7918" w:type="dxa"/>
            <w:tcBorders>
              <w:top w:val="single" w:sz="4" w:space="0" w:color="auto"/>
              <w:left w:val="single" w:sz="4" w:space="0" w:color="auto"/>
              <w:bottom w:val="single" w:sz="4" w:space="0" w:color="auto"/>
              <w:right w:val="single" w:sz="4" w:space="0" w:color="auto"/>
            </w:tcBorders>
            <w:vAlign w:val="center"/>
          </w:tcPr>
          <w:p w14:paraId="40373F52" w14:textId="0C4A2B71" w:rsidR="00E859A8" w:rsidRDefault="00D94EFD">
            <w:pPr>
              <w:pStyle w:val="msonormalcxspmiddle"/>
              <w:adjustRightInd w:val="0"/>
              <w:snapToGrid w:val="0"/>
              <w:spacing w:before="0" w:beforeAutospacing="0" w:after="0" w:afterAutospacing="0" w:line="288" w:lineRule="auto"/>
              <w:rPr>
                <w:sz w:val="18"/>
                <w:szCs w:val="18"/>
              </w:rPr>
            </w:pPr>
            <w:r>
              <w:rPr>
                <w:rFonts w:hint="eastAsia"/>
                <w:color w:val="000000"/>
                <w:sz w:val="18"/>
                <w:szCs w:val="18"/>
              </w:rPr>
              <w:t>本理财计划成立日为</w:t>
            </w:r>
            <w:r w:rsidR="006B4521">
              <w:rPr>
                <w:rFonts w:hint="eastAsia"/>
                <w:sz w:val="18"/>
                <w:szCs w:val="18"/>
              </w:rPr>
              <w:t>2021年2月9日</w:t>
            </w:r>
            <w:r>
              <w:rPr>
                <w:rFonts w:hint="eastAsia"/>
                <w:color w:val="000000"/>
                <w:sz w:val="18"/>
                <w:szCs w:val="18"/>
              </w:rPr>
              <w:t>。温州银行有权根据实际募集情况选择产品提前成立，若温州银行采取以上措施，温州银行将就产品相应要素的调整事宜于提前成立日前的一个工作日在温州银行</w:t>
            </w:r>
            <w:r>
              <w:rPr>
                <w:rFonts w:hint="eastAsia"/>
                <w:sz w:val="18"/>
                <w:szCs w:val="18"/>
              </w:rPr>
              <w:t>网</w:t>
            </w:r>
            <w:r>
              <w:rPr>
                <w:rFonts w:hint="eastAsia"/>
                <w:sz w:val="18"/>
                <w:szCs w:val="18"/>
              </w:rPr>
              <w:t>站予以公告。</w:t>
            </w:r>
            <w:r>
              <w:rPr>
                <w:rFonts w:cs="Times New Roman" w:hint="eastAsia"/>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rsidR="00E859A8" w14:paraId="6AA2DBDC" w14:textId="77777777">
        <w:tc>
          <w:tcPr>
            <w:tcW w:w="1499" w:type="dxa"/>
            <w:tcBorders>
              <w:top w:val="single" w:sz="4" w:space="0" w:color="auto"/>
              <w:left w:val="single" w:sz="4" w:space="0" w:color="auto"/>
              <w:bottom w:val="single" w:sz="4" w:space="0" w:color="auto"/>
              <w:right w:val="single" w:sz="4" w:space="0" w:color="auto"/>
            </w:tcBorders>
            <w:vAlign w:val="center"/>
          </w:tcPr>
          <w:p w14:paraId="65A3D16A"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理财期限</w:t>
            </w:r>
          </w:p>
        </w:tc>
        <w:tc>
          <w:tcPr>
            <w:tcW w:w="7918" w:type="dxa"/>
            <w:tcBorders>
              <w:top w:val="single" w:sz="4" w:space="0" w:color="auto"/>
              <w:left w:val="single" w:sz="4" w:space="0" w:color="auto"/>
              <w:bottom w:val="single" w:sz="4" w:space="0" w:color="auto"/>
              <w:right w:val="single" w:sz="4" w:space="0" w:color="auto"/>
            </w:tcBorders>
            <w:vAlign w:val="center"/>
          </w:tcPr>
          <w:p w14:paraId="58A5C5D2" w14:textId="77777777" w:rsidR="00E859A8" w:rsidRDefault="00D94EFD">
            <w:pPr>
              <w:autoSpaceDN w:val="0"/>
              <w:rPr>
                <w:sz w:val="18"/>
                <w:szCs w:val="18"/>
              </w:rPr>
            </w:pPr>
            <w:r>
              <w:rPr>
                <w:rFonts w:ascii="宋体" w:hAnsi="宋体"/>
                <w:kern w:val="0"/>
                <w:sz w:val="18"/>
              </w:rPr>
              <w:t>本理财</w:t>
            </w:r>
            <w:r>
              <w:rPr>
                <w:rFonts w:ascii="宋体" w:hAnsi="宋体" w:hint="eastAsia"/>
                <w:kern w:val="0"/>
                <w:sz w:val="18"/>
              </w:rPr>
              <w:t>计划</w:t>
            </w:r>
            <w:r>
              <w:rPr>
                <w:rFonts w:ascii="宋体" w:hAnsi="宋体"/>
                <w:kern w:val="0"/>
                <w:sz w:val="18"/>
              </w:rPr>
              <w:t>存续期为</w:t>
            </w:r>
            <w:r>
              <w:rPr>
                <w:rFonts w:ascii="宋体" w:hAnsi="宋体" w:hint="eastAsia"/>
                <w:kern w:val="0"/>
                <w:sz w:val="18"/>
              </w:rPr>
              <w:t>12</w:t>
            </w:r>
            <w:r>
              <w:rPr>
                <w:rFonts w:ascii="宋体" w:hAnsi="宋体"/>
                <w:kern w:val="0"/>
                <w:sz w:val="18"/>
              </w:rPr>
              <w:t>年。存续期指本理财产品成立日至到期日的理财期间。</w:t>
            </w:r>
            <w:r>
              <w:rPr>
                <w:rFonts w:ascii="宋体" w:hAnsi="宋体" w:hint="eastAsia"/>
                <w:kern w:val="0"/>
                <w:sz w:val="18"/>
              </w:rPr>
              <w:t>温州</w:t>
            </w:r>
            <w:r>
              <w:rPr>
                <w:rFonts w:ascii="宋体" w:hAnsi="宋体"/>
                <w:kern w:val="0"/>
                <w:sz w:val="18"/>
              </w:rPr>
              <w:t>银行有权在存续期届满前一个月内选择展期，并通过</w:t>
            </w:r>
            <w:r>
              <w:rPr>
                <w:rFonts w:ascii="宋体" w:hAnsi="宋体" w:hint="eastAsia"/>
                <w:kern w:val="0"/>
                <w:sz w:val="18"/>
              </w:rPr>
              <w:t>温州银行网站</w:t>
            </w:r>
            <w:r>
              <w:rPr>
                <w:rFonts w:ascii="宋体" w:hAnsi="宋体"/>
                <w:kern w:val="0"/>
                <w:sz w:val="18"/>
              </w:rPr>
              <w:t>予以公告。若</w:t>
            </w:r>
            <w:r>
              <w:rPr>
                <w:rFonts w:ascii="宋体" w:hAnsi="宋体" w:hint="eastAsia"/>
                <w:kern w:val="0"/>
                <w:sz w:val="18"/>
              </w:rPr>
              <w:t>温州</w:t>
            </w:r>
            <w:r>
              <w:rPr>
                <w:rFonts w:ascii="宋体" w:hAnsi="宋体"/>
                <w:kern w:val="0"/>
                <w:sz w:val="18"/>
              </w:rPr>
              <w:t>银行未选择展期，则本理财产品</w:t>
            </w:r>
            <w:r>
              <w:rPr>
                <w:rFonts w:ascii="宋体" w:hAnsi="宋体" w:hint="eastAsia"/>
                <w:kern w:val="0"/>
                <w:sz w:val="18"/>
              </w:rPr>
              <w:t>在</w:t>
            </w:r>
            <w:r>
              <w:rPr>
                <w:rFonts w:ascii="宋体" w:hAnsi="宋体"/>
                <w:kern w:val="0"/>
                <w:sz w:val="18"/>
              </w:rPr>
              <w:t>存续期届满</w:t>
            </w:r>
            <w:r>
              <w:rPr>
                <w:rFonts w:ascii="宋体" w:hAnsi="宋体" w:hint="eastAsia"/>
                <w:kern w:val="0"/>
                <w:sz w:val="18"/>
              </w:rPr>
              <w:t>后</w:t>
            </w:r>
            <w:r>
              <w:rPr>
                <w:rFonts w:ascii="宋体" w:hAnsi="宋体"/>
                <w:kern w:val="0"/>
                <w:sz w:val="18"/>
              </w:rPr>
              <w:t>自动终止。</w:t>
            </w:r>
          </w:p>
        </w:tc>
      </w:tr>
      <w:tr w:rsidR="00E859A8" w14:paraId="45F37892" w14:textId="77777777">
        <w:tc>
          <w:tcPr>
            <w:tcW w:w="1499" w:type="dxa"/>
            <w:tcBorders>
              <w:top w:val="single" w:sz="4" w:space="0" w:color="auto"/>
              <w:left w:val="single" w:sz="4" w:space="0" w:color="auto"/>
              <w:bottom w:val="single" w:sz="4" w:space="0" w:color="auto"/>
              <w:right w:val="single" w:sz="4" w:space="0" w:color="auto"/>
            </w:tcBorders>
            <w:vAlign w:val="center"/>
          </w:tcPr>
          <w:p w14:paraId="04D96735"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投资运作周期</w:t>
            </w:r>
          </w:p>
        </w:tc>
        <w:tc>
          <w:tcPr>
            <w:tcW w:w="7918" w:type="dxa"/>
            <w:tcBorders>
              <w:top w:val="single" w:sz="4" w:space="0" w:color="auto"/>
              <w:left w:val="single" w:sz="4" w:space="0" w:color="auto"/>
              <w:bottom w:val="single" w:sz="4" w:space="0" w:color="auto"/>
              <w:right w:val="single" w:sz="4" w:space="0" w:color="auto"/>
            </w:tcBorders>
            <w:vAlign w:val="center"/>
          </w:tcPr>
          <w:p w14:paraId="23591F64" w14:textId="77777777" w:rsidR="00E859A8" w:rsidRDefault="00D94EFD">
            <w:pPr>
              <w:autoSpaceDN w:val="0"/>
              <w:rPr>
                <w:rFonts w:ascii="宋体" w:hAnsi="宋体"/>
                <w:sz w:val="24"/>
              </w:rPr>
            </w:pPr>
            <w:r>
              <w:rPr>
                <w:rFonts w:ascii="宋体" w:hAnsi="宋体"/>
                <w:sz w:val="18"/>
              </w:rPr>
              <w:t>1</w:t>
            </w:r>
            <w:r>
              <w:rPr>
                <w:rFonts w:ascii="宋体" w:hAnsi="宋体" w:hint="eastAsia"/>
                <w:sz w:val="18"/>
              </w:rPr>
              <w:t>.</w:t>
            </w:r>
            <w:r>
              <w:rPr>
                <w:rFonts w:ascii="宋体" w:hAnsi="宋体"/>
                <w:sz w:val="18"/>
              </w:rPr>
              <w:t>本理财产品成立后，按投资周期开放</w:t>
            </w:r>
            <w:r>
              <w:rPr>
                <w:rFonts w:ascii="宋体" w:hAnsi="宋体" w:hint="eastAsia"/>
                <w:sz w:val="18"/>
              </w:rPr>
              <w:t>预约认购（申购）</w:t>
            </w:r>
            <w:r>
              <w:rPr>
                <w:rFonts w:ascii="宋体" w:hAnsi="宋体"/>
                <w:sz w:val="18"/>
              </w:rPr>
              <w:t>、预约赎回和</w:t>
            </w:r>
            <w:r>
              <w:rPr>
                <w:rFonts w:ascii="宋体" w:hAnsi="宋体" w:hint="eastAsia"/>
                <w:sz w:val="18"/>
              </w:rPr>
              <w:t>理财收益清算</w:t>
            </w:r>
            <w:r>
              <w:rPr>
                <w:rFonts w:ascii="宋体" w:hAnsi="宋体"/>
                <w:sz w:val="18"/>
              </w:rPr>
              <w:t>。每一个投资</w:t>
            </w:r>
            <w:r>
              <w:rPr>
                <w:rFonts w:ascii="宋体" w:hAnsi="宋体" w:hint="eastAsia"/>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2D160F94" w14:textId="255ABFAC" w:rsidR="00E859A8" w:rsidRDefault="00D94EFD">
            <w:pPr>
              <w:autoSpaceDN w:val="0"/>
              <w:rPr>
                <w:rFonts w:ascii="宋体" w:hAnsi="宋体"/>
                <w:sz w:val="24"/>
              </w:rPr>
            </w:pPr>
            <w:r>
              <w:rPr>
                <w:rFonts w:ascii="宋体" w:hAnsi="宋体"/>
                <w:sz w:val="18"/>
              </w:rPr>
              <w:t>2</w:t>
            </w:r>
            <w:r>
              <w:rPr>
                <w:rFonts w:ascii="宋体" w:hAnsi="宋体" w:hint="eastAsia"/>
                <w:sz w:val="18"/>
              </w:rPr>
              <w:t>.</w:t>
            </w:r>
            <w:r>
              <w:rPr>
                <w:rFonts w:ascii="宋体" w:hAnsi="宋体"/>
                <w:sz w:val="18"/>
              </w:rPr>
              <w:t>本理财产品一个投资周期为</w:t>
            </w:r>
            <w:r w:rsidR="006B4521">
              <w:rPr>
                <w:rFonts w:ascii="宋体" w:hAnsi="宋体"/>
                <w:sz w:val="18"/>
              </w:rPr>
              <w:t>【1093】</w:t>
            </w:r>
            <w:r>
              <w:rPr>
                <w:rFonts w:ascii="宋体" w:hAnsi="宋体"/>
                <w:sz w:val="18"/>
              </w:rPr>
              <w:t>天，</w:t>
            </w:r>
            <w:r>
              <w:rPr>
                <w:rFonts w:ascii="宋体" w:hAnsi="宋体" w:hint="eastAsia"/>
                <w:sz w:val="18"/>
              </w:rPr>
              <w:t>在本理财计划存续期内开放的其他</w:t>
            </w:r>
            <w:r>
              <w:rPr>
                <w:rFonts w:ascii="宋体" w:hAnsi="宋体"/>
                <w:sz w:val="18"/>
              </w:rPr>
              <w:t>投资周期可能会因非工作日调整大于或小于</w:t>
            </w:r>
            <w:r w:rsidR="006B4521">
              <w:rPr>
                <w:rFonts w:ascii="宋体" w:hAnsi="宋体"/>
                <w:sz w:val="18"/>
              </w:rPr>
              <w:t>【1093】</w:t>
            </w:r>
            <w:r>
              <w:rPr>
                <w:rFonts w:ascii="宋体" w:hAnsi="宋体"/>
                <w:sz w:val="18"/>
              </w:rPr>
              <w:t>天。投资周期终止日如遇非工作日则</w:t>
            </w:r>
            <w:r>
              <w:rPr>
                <w:rFonts w:ascii="宋体" w:hAnsi="宋体" w:hint="eastAsia"/>
                <w:sz w:val="18"/>
              </w:rPr>
              <w:t>顺延至下一个工作日</w:t>
            </w:r>
            <w:r>
              <w:rPr>
                <w:rFonts w:ascii="宋体" w:hAnsi="宋体"/>
                <w:kern w:val="0"/>
                <w:sz w:val="18"/>
              </w:rPr>
              <w:t>。</w:t>
            </w:r>
            <w:r>
              <w:rPr>
                <w:rFonts w:ascii="宋体" w:hAnsi="宋体" w:hint="eastAsia"/>
                <w:kern w:val="0"/>
                <w:sz w:val="18"/>
              </w:rPr>
              <w:t>每个投资运作周期的相关产品要素及具体日期请参照</w:t>
            </w:r>
            <w:r>
              <w:rPr>
                <w:rFonts w:hint="eastAsia"/>
                <w:sz w:val="18"/>
                <w:szCs w:val="18"/>
              </w:rPr>
              <w:t>《温州银行“金鹿理财</w:t>
            </w:r>
            <w:r>
              <w:rPr>
                <w:rFonts w:hint="eastAsia"/>
                <w:sz w:val="18"/>
                <w:szCs w:val="18"/>
              </w:rPr>
              <w:t>-</w:t>
            </w:r>
            <w:r>
              <w:rPr>
                <w:rFonts w:hint="eastAsia"/>
                <w:sz w:val="18"/>
                <w:szCs w:val="18"/>
              </w:rPr>
              <w:t>普惠颐养”</w:t>
            </w:r>
            <w:r w:rsidR="006B4521">
              <w:rPr>
                <w:color w:val="000000"/>
                <w:sz w:val="18"/>
                <w:szCs w:val="18"/>
              </w:rPr>
              <w:t>21005</w:t>
            </w:r>
            <w:r w:rsidR="006B4521">
              <w:rPr>
                <w:color w:val="000000"/>
                <w:sz w:val="18"/>
                <w:szCs w:val="18"/>
              </w:rPr>
              <w:t>号</w:t>
            </w:r>
            <w:r>
              <w:rPr>
                <w:rFonts w:hint="eastAsia"/>
                <w:sz w:val="18"/>
                <w:szCs w:val="18"/>
              </w:rPr>
              <w:t>开放式净值型（第</w:t>
            </w:r>
            <w:r>
              <w:rPr>
                <w:rFonts w:hint="eastAsia"/>
                <w:sz w:val="18"/>
                <w:szCs w:val="18"/>
              </w:rPr>
              <w:t>i</w:t>
            </w:r>
            <w:r>
              <w:rPr>
                <w:rFonts w:hint="eastAsia"/>
                <w:sz w:val="18"/>
                <w:szCs w:val="18"/>
              </w:rPr>
              <w:t>期）银行理财计划开放认购（申购）申请书》</w:t>
            </w:r>
            <w:r>
              <w:rPr>
                <w:rFonts w:ascii="宋体" w:hAnsi="宋体"/>
                <w:sz w:val="18"/>
              </w:rPr>
              <w:t>所载明的</w:t>
            </w:r>
            <w:r>
              <w:rPr>
                <w:rFonts w:ascii="宋体" w:hAnsi="宋体" w:hint="eastAsia"/>
                <w:sz w:val="18"/>
              </w:rPr>
              <w:t>产品要素</w:t>
            </w:r>
            <w:r>
              <w:rPr>
                <w:rFonts w:ascii="宋体" w:hAnsi="宋体"/>
                <w:sz w:val="18"/>
              </w:rPr>
              <w:t>为准。</w:t>
            </w:r>
            <w:r>
              <w:rPr>
                <w:rFonts w:ascii="宋体" w:hAnsi="宋体" w:hint="eastAsia"/>
                <w:sz w:val="18"/>
              </w:rPr>
              <w:t>温州</w:t>
            </w:r>
            <w:r>
              <w:rPr>
                <w:rFonts w:ascii="宋体" w:hAnsi="宋体"/>
                <w:sz w:val="18"/>
              </w:rPr>
              <w:t>银行有权</w:t>
            </w:r>
            <w:r>
              <w:rPr>
                <w:rFonts w:ascii="宋体" w:hAnsi="宋体" w:hint="eastAsia"/>
                <w:sz w:val="18"/>
              </w:rPr>
              <w:t>根据市场情况</w:t>
            </w:r>
            <w:r>
              <w:rPr>
                <w:rFonts w:ascii="宋体" w:hAnsi="宋体"/>
                <w:sz w:val="18"/>
              </w:rPr>
              <w:t>调整投资周期，调整后的投资周期</w:t>
            </w:r>
            <w:r>
              <w:rPr>
                <w:rFonts w:ascii="宋体" w:hAnsi="宋体" w:hint="eastAsia"/>
                <w:sz w:val="18"/>
              </w:rPr>
              <w:t>等相关事宜将在温州</w:t>
            </w:r>
            <w:r>
              <w:rPr>
                <w:rFonts w:ascii="宋体" w:hAnsi="宋体"/>
                <w:sz w:val="18"/>
              </w:rPr>
              <w:t>银行网站</w:t>
            </w:r>
            <w:r>
              <w:rPr>
                <w:rFonts w:ascii="宋体" w:hAnsi="宋体" w:hint="eastAsia"/>
                <w:sz w:val="18"/>
              </w:rPr>
              <w:t>予以</w:t>
            </w:r>
            <w:r>
              <w:rPr>
                <w:rFonts w:ascii="宋体" w:hAnsi="宋体"/>
                <w:sz w:val="18"/>
              </w:rPr>
              <w:t>公告。</w:t>
            </w:r>
          </w:p>
          <w:p w14:paraId="426068D9" w14:textId="44E0357D" w:rsidR="00E859A8" w:rsidRDefault="00D94EFD">
            <w:pPr>
              <w:autoSpaceDN w:val="0"/>
              <w:rPr>
                <w:rFonts w:ascii="宋体" w:hAnsi="宋体"/>
                <w:sz w:val="18"/>
              </w:rPr>
            </w:pPr>
            <w:r>
              <w:rPr>
                <w:rFonts w:ascii="宋体" w:hAnsi="宋体"/>
                <w:sz w:val="18"/>
              </w:rPr>
              <w:t>3.</w:t>
            </w:r>
            <w:r>
              <w:rPr>
                <w:rFonts w:ascii="宋体" w:hAnsi="宋体" w:hint="eastAsia"/>
                <w:sz w:val="18"/>
              </w:rPr>
              <w:t>本理财产品按分红周期进行分红，每分红周期为</w:t>
            </w:r>
            <w:r>
              <w:rPr>
                <w:rFonts w:ascii="宋体" w:hAnsi="宋体"/>
                <w:sz w:val="18"/>
              </w:rPr>
              <w:t>【</w:t>
            </w:r>
            <w:r>
              <w:rPr>
                <w:rFonts w:ascii="宋体" w:hAnsi="宋体" w:hint="eastAsia"/>
                <w:sz w:val="18"/>
              </w:rPr>
              <w:t>365</w:t>
            </w:r>
            <w:r>
              <w:rPr>
                <w:rFonts w:ascii="宋体" w:hAnsi="宋体"/>
                <w:sz w:val="18"/>
              </w:rPr>
              <w:t>】天</w:t>
            </w:r>
            <w:r>
              <w:rPr>
                <w:rFonts w:ascii="宋体" w:hAnsi="宋体" w:hint="eastAsia"/>
                <w:sz w:val="18"/>
              </w:rPr>
              <w:t>，在本理财计划存续期内的分红</w:t>
            </w:r>
            <w:r>
              <w:rPr>
                <w:rFonts w:ascii="宋体" w:hAnsi="宋体"/>
                <w:sz w:val="18"/>
              </w:rPr>
              <w:t>周期可能会因非工作日调整大于或小于【</w:t>
            </w:r>
            <w:r>
              <w:rPr>
                <w:rFonts w:ascii="宋体" w:hAnsi="宋体" w:hint="eastAsia"/>
                <w:sz w:val="18"/>
              </w:rPr>
              <w:t>365</w:t>
            </w:r>
            <w:r>
              <w:rPr>
                <w:rFonts w:ascii="宋体" w:hAnsi="宋体"/>
                <w:sz w:val="18"/>
              </w:rPr>
              <w:t>】天</w:t>
            </w:r>
            <w:r>
              <w:rPr>
                <w:rFonts w:ascii="宋体" w:hAnsi="宋体" w:hint="eastAsia"/>
                <w:sz w:val="18"/>
              </w:rPr>
              <w:t>，具体分红日期请参照《温州银行“金鹿理财</w:t>
            </w:r>
            <w:r>
              <w:rPr>
                <w:rFonts w:ascii="宋体" w:hAnsi="宋体" w:hint="eastAsia"/>
                <w:sz w:val="18"/>
              </w:rPr>
              <w:t>-</w:t>
            </w:r>
            <w:r>
              <w:rPr>
                <w:rFonts w:ascii="宋体" w:hAnsi="宋体" w:hint="eastAsia"/>
                <w:sz w:val="18"/>
              </w:rPr>
              <w:t>普惠颐养”</w:t>
            </w:r>
            <w:r w:rsidR="006B4521">
              <w:rPr>
                <w:color w:val="000000"/>
                <w:sz w:val="18"/>
                <w:szCs w:val="18"/>
              </w:rPr>
              <w:t>21005</w:t>
            </w:r>
            <w:r w:rsidR="006B4521">
              <w:rPr>
                <w:color w:val="000000"/>
                <w:sz w:val="18"/>
                <w:szCs w:val="18"/>
              </w:rPr>
              <w:t>号</w:t>
            </w:r>
            <w:r>
              <w:rPr>
                <w:rFonts w:ascii="宋体" w:hAnsi="宋体" w:hint="eastAsia"/>
                <w:sz w:val="18"/>
              </w:rPr>
              <w:t>开放式净值型（第</w:t>
            </w:r>
            <w:r>
              <w:rPr>
                <w:rFonts w:ascii="宋体" w:hAnsi="宋体" w:hint="eastAsia"/>
                <w:sz w:val="18"/>
              </w:rPr>
              <w:t>i</w:t>
            </w:r>
            <w:r>
              <w:rPr>
                <w:rFonts w:ascii="宋体" w:hAnsi="宋体" w:hint="eastAsia"/>
                <w:sz w:val="18"/>
              </w:rPr>
              <w:t>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w:t>
            </w:r>
            <w:r>
              <w:rPr>
                <w:rFonts w:ascii="宋体" w:hAnsi="宋体" w:hint="eastAsia"/>
                <w:sz w:val="18"/>
              </w:rPr>
              <w:t>0</w:t>
            </w:r>
            <w:r>
              <w:rPr>
                <w:rFonts w:ascii="宋体" w:hAnsi="宋体" w:hint="eastAsia"/>
                <w:sz w:val="18"/>
              </w:rPr>
              <w:t>的，按产品实际投资收益暂行下发收益；若该投资周期起始日至分红日期间，扣除托管费、固定管理费及其他费用后，累计产品投资收益率小于或等于</w:t>
            </w:r>
            <w:r>
              <w:rPr>
                <w:rFonts w:ascii="宋体" w:hAnsi="宋体" w:hint="eastAsia"/>
                <w:sz w:val="18"/>
              </w:rPr>
              <w:t>0</w:t>
            </w:r>
            <w:r>
              <w:rPr>
                <w:rFonts w:ascii="宋体" w:hAnsi="宋体" w:hint="eastAsia"/>
                <w:sz w:val="18"/>
              </w:rPr>
              <w:t>的，本分红周期暂不进行收益分配。</w:t>
            </w:r>
          </w:p>
          <w:p w14:paraId="07A31CA2" w14:textId="77777777" w:rsidR="00E859A8" w:rsidRDefault="00D94EFD">
            <w:pPr>
              <w:autoSpaceDN w:val="0"/>
              <w:rPr>
                <w:rFonts w:ascii="宋体" w:hAnsi="宋体"/>
                <w:sz w:val="24"/>
              </w:rPr>
            </w:pPr>
            <w:r>
              <w:rPr>
                <w:rFonts w:ascii="宋体" w:hAnsi="宋体" w:hint="eastAsia"/>
                <w:sz w:val="18"/>
              </w:rPr>
              <w:t>4.</w:t>
            </w:r>
            <w:r>
              <w:rPr>
                <w:rFonts w:ascii="宋体" w:hAnsi="宋体"/>
                <w:sz w:val="18"/>
              </w:rPr>
              <w:t>本理财产品按投资周期开放</w:t>
            </w:r>
            <w:r>
              <w:rPr>
                <w:rFonts w:ascii="宋体" w:hAnsi="宋体"/>
                <w:sz w:val="18"/>
              </w:rPr>
              <w:t>申购，</w:t>
            </w:r>
            <w:r>
              <w:rPr>
                <w:rFonts w:ascii="宋体" w:hAnsi="宋体" w:hint="eastAsia"/>
                <w:sz w:val="18"/>
              </w:rPr>
              <w:t>投资者</w:t>
            </w:r>
            <w:r>
              <w:rPr>
                <w:rFonts w:ascii="宋体" w:hAnsi="宋体"/>
                <w:sz w:val="18"/>
              </w:rPr>
              <w:t>可以在一个投资周期的预约</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期内提出</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申请。本理财产品按投资周期开放赎回，</w:t>
            </w:r>
            <w:r>
              <w:rPr>
                <w:rFonts w:ascii="宋体" w:hAnsi="宋体" w:hint="eastAsia"/>
                <w:sz w:val="18"/>
              </w:rPr>
              <w:t>投资者</w:t>
            </w:r>
            <w:r>
              <w:rPr>
                <w:rFonts w:ascii="宋体" w:hAnsi="宋体"/>
                <w:sz w:val="18"/>
              </w:rPr>
              <w:t>可以在一个投资周期的预约赎回期内提出赎回申请，赎回确认日为</w:t>
            </w:r>
            <w:r>
              <w:rPr>
                <w:rFonts w:ascii="宋体" w:hAnsi="宋体" w:hint="eastAsia"/>
                <w:sz w:val="18"/>
              </w:rPr>
              <w:t>该</w:t>
            </w:r>
            <w:r>
              <w:rPr>
                <w:rFonts w:ascii="宋体" w:hAnsi="宋体"/>
                <w:sz w:val="18"/>
              </w:rPr>
              <w:t>投资周期的投资周期终止日，</w:t>
            </w:r>
            <w:r>
              <w:rPr>
                <w:rFonts w:ascii="宋体" w:hAnsi="宋体" w:hint="eastAsia"/>
                <w:sz w:val="18"/>
              </w:rPr>
              <w:t>温州</w:t>
            </w:r>
            <w:r>
              <w:rPr>
                <w:rFonts w:ascii="宋体" w:hAnsi="宋体"/>
                <w:sz w:val="18"/>
              </w:rPr>
              <w:t>银行</w:t>
            </w:r>
            <w:r>
              <w:rPr>
                <w:rFonts w:ascii="宋体" w:hAnsi="宋体" w:hint="eastAsia"/>
                <w:sz w:val="18"/>
              </w:rPr>
              <w:t>根据投资者的赎回申请</w:t>
            </w:r>
            <w:r>
              <w:rPr>
                <w:rFonts w:ascii="宋体" w:hAnsi="宋体"/>
                <w:sz w:val="18"/>
              </w:rPr>
              <w:t>返还客户</w:t>
            </w:r>
            <w:r>
              <w:rPr>
                <w:rFonts w:ascii="宋体" w:hAnsi="宋体"/>
                <w:sz w:val="18"/>
              </w:rPr>
              <w:lastRenderedPageBreak/>
              <w:t>赎回本金和当期投资周期</w:t>
            </w:r>
            <w:r>
              <w:rPr>
                <w:rFonts w:ascii="宋体" w:hAnsi="宋体" w:hint="eastAsia"/>
                <w:sz w:val="18"/>
              </w:rPr>
              <w:t>剩余</w:t>
            </w:r>
            <w:r>
              <w:rPr>
                <w:rFonts w:ascii="宋体" w:hAnsi="宋体"/>
                <w:sz w:val="18"/>
              </w:rPr>
              <w:t>理财</w:t>
            </w:r>
            <w:r>
              <w:rPr>
                <w:rFonts w:ascii="宋体" w:hAnsi="宋体" w:hint="eastAsia"/>
                <w:sz w:val="18"/>
              </w:rPr>
              <w:t>损益</w:t>
            </w:r>
            <w:r>
              <w:rPr>
                <w:rFonts w:ascii="宋体" w:hAnsi="宋体"/>
                <w:sz w:val="18"/>
              </w:rPr>
              <w:t>。如果</w:t>
            </w:r>
            <w:r>
              <w:rPr>
                <w:rFonts w:ascii="宋体" w:hAnsi="宋体" w:hint="eastAsia"/>
                <w:sz w:val="18"/>
              </w:rPr>
              <w:t>投资者</w:t>
            </w:r>
            <w:r>
              <w:rPr>
                <w:rFonts w:ascii="宋体" w:hAnsi="宋体"/>
                <w:sz w:val="18"/>
              </w:rPr>
              <w:t>在</w:t>
            </w:r>
            <w:r>
              <w:rPr>
                <w:rFonts w:ascii="宋体" w:hAnsi="宋体" w:hint="eastAsia"/>
                <w:sz w:val="18"/>
              </w:rPr>
              <w:t>认购（</w:t>
            </w:r>
            <w:r>
              <w:rPr>
                <w:rFonts w:ascii="宋体" w:hAnsi="宋体"/>
                <w:sz w:val="18"/>
              </w:rPr>
              <w:t>申购</w:t>
            </w:r>
            <w:r>
              <w:rPr>
                <w:rFonts w:ascii="宋体" w:hAnsi="宋体" w:hint="eastAsia"/>
                <w:sz w:val="18"/>
              </w:rPr>
              <w:t>）资金对应的</w:t>
            </w:r>
            <w:r>
              <w:rPr>
                <w:rFonts w:ascii="宋体" w:hAnsi="宋体"/>
                <w:sz w:val="18"/>
              </w:rPr>
              <w:t>投资周期</w:t>
            </w:r>
            <w:r>
              <w:rPr>
                <w:rFonts w:ascii="宋体" w:hAnsi="宋体" w:hint="eastAsia"/>
                <w:sz w:val="18"/>
              </w:rPr>
              <w:t>内</w:t>
            </w:r>
            <w:r>
              <w:rPr>
                <w:rFonts w:ascii="宋体" w:hAnsi="宋体"/>
                <w:sz w:val="18"/>
              </w:rPr>
              <w:t>的</w:t>
            </w:r>
            <w:r>
              <w:rPr>
                <w:rFonts w:ascii="宋体" w:hAnsi="宋体" w:hint="eastAsia"/>
                <w:sz w:val="18"/>
              </w:rPr>
              <w:t>预约</w:t>
            </w:r>
            <w:r>
              <w:rPr>
                <w:rFonts w:ascii="宋体" w:hAnsi="宋体"/>
                <w:sz w:val="18"/>
              </w:rPr>
              <w:t>赎回期内未提出赎回申请，则该投资周期终止后，客户的理财资金</w:t>
            </w:r>
            <w:r>
              <w:rPr>
                <w:rFonts w:ascii="宋体" w:hAnsi="宋体" w:hint="eastAsia"/>
                <w:sz w:val="18"/>
              </w:rPr>
              <w:t>将</w:t>
            </w:r>
            <w:r>
              <w:rPr>
                <w:rFonts w:ascii="宋体" w:hAnsi="宋体"/>
                <w:sz w:val="18"/>
              </w:rPr>
              <w:t>继续进入下一个投资周期进行理财运作，</w:t>
            </w:r>
            <w:r>
              <w:rPr>
                <w:rFonts w:ascii="宋体" w:hAnsi="宋体" w:hint="eastAsia"/>
                <w:sz w:val="18"/>
              </w:rPr>
              <w:t>温州</w:t>
            </w:r>
            <w:r>
              <w:rPr>
                <w:rFonts w:ascii="宋体" w:hAnsi="宋体"/>
                <w:sz w:val="18"/>
              </w:rPr>
              <w:t>银行</w:t>
            </w:r>
            <w:r>
              <w:rPr>
                <w:rFonts w:ascii="宋体" w:hAnsi="宋体" w:hint="eastAsia"/>
                <w:sz w:val="18"/>
              </w:rPr>
              <w:t>在对应的</w:t>
            </w:r>
            <w:r>
              <w:rPr>
                <w:rFonts w:ascii="宋体" w:hAnsi="宋体"/>
                <w:sz w:val="18"/>
              </w:rPr>
              <w:t>投资周期终止日，</w:t>
            </w:r>
            <w:r>
              <w:rPr>
                <w:rFonts w:ascii="宋体" w:hAnsi="宋体" w:hint="eastAsia"/>
                <w:sz w:val="18"/>
              </w:rPr>
              <w:t>进行</w:t>
            </w:r>
            <w:r>
              <w:rPr>
                <w:rFonts w:ascii="宋体" w:hAnsi="宋体"/>
                <w:sz w:val="18"/>
              </w:rPr>
              <w:t>该投资周期</w:t>
            </w:r>
            <w:r>
              <w:rPr>
                <w:rFonts w:ascii="宋体" w:hAnsi="宋体" w:hint="eastAsia"/>
                <w:sz w:val="18"/>
              </w:rPr>
              <w:t>剩余</w:t>
            </w:r>
            <w:r>
              <w:rPr>
                <w:rFonts w:ascii="宋体" w:hAnsi="宋体"/>
                <w:sz w:val="18"/>
              </w:rPr>
              <w:t>理财收益</w:t>
            </w:r>
            <w:r>
              <w:rPr>
                <w:rFonts w:ascii="宋体" w:hAnsi="宋体" w:hint="eastAsia"/>
                <w:sz w:val="18"/>
              </w:rPr>
              <w:t>清算</w:t>
            </w:r>
            <w:r>
              <w:rPr>
                <w:rFonts w:ascii="宋体" w:hAnsi="宋体"/>
                <w:sz w:val="18"/>
              </w:rPr>
              <w:t>。</w:t>
            </w:r>
          </w:p>
          <w:p w14:paraId="178E377D" w14:textId="77777777" w:rsidR="00E859A8" w:rsidRDefault="00D94EFD">
            <w:pPr>
              <w:autoSpaceDN w:val="0"/>
              <w:rPr>
                <w:sz w:val="18"/>
                <w:szCs w:val="18"/>
              </w:rPr>
            </w:pPr>
            <w:r>
              <w:rPr>
                <w:rFonts w:ascii="宋体" w:hAnsi="宋体" w:hint="eastAsia"/>
                <w:sz w:val="18"/>
              </w:rPr>
              <w:t>5.</w:t>
            </w:r>
            <w:r>
              <w:rPr>
                <w:rFonts w:ascii="宋体" w:hAnsi="宋体"/>
                <w:sz w:val="18"/>
              </w:rPr>
              <w:t>当期投资周期的投资周期终止日</w:t>
            </w:r>
            <w:r>
              <w:rPr>
                <w:rFonts w:ascii="宋体" w:hAnsi="宋体"/>
                <w:sz w:val="18"/>
              </w:rPr>
              <w:t>、赎回</w:t>
            </w:r>
            <w:r>
              <w:rPr>
                <w:rFonts w:ascii="宋体" w:hAnsi="宋体" w:hint="eastAsia"/>
                <w:sz w:val="18"/>
              </w:rPr>
              <w:t>清算</w:t>
            </w:r>
            <w:r>
              <w:rPr>
                <w:rFonts w:ascii="宋体" w:hAnsi="宋体"/>
                <w:sz w:val="18"/>
              </w:rPr>
              <w:t>日和下一个投资周期的投资周期起始日为同一天。</w:t>
            </w:r>
          </w:p>
        </w:tc>
      </w:tr>
      <w:tr w:rsidR="00E859A8" w14:paraId="4F2E0CC6" w14:textId="77777777">
        <w:tc>
          <w:tcPr>
            <w:tcW w:w="1499" w:type="dxa"/>
            <w:tcBorders>
              <w:top w:val="single" w:sz="4" w:space="0" w:color="auto"/>
              <w:left w:val="single" w:sz="4" w:space="0" w:color="auto"/>
              <w:bottom w:val="single" w:sz="4" w:space="0" w:color="auto"/>
              <w:right w:val="single" w:sz="4" w:space="0" w:color="auto"/>
            </w:tcBorders>
            <w:vAlign w:val="center"/>
          </w:tcPr>
          <w:p w14:paraId="286561CA" w14:textId="77777777" w:rsidR="00E859A8" w:rsidRDefault="00D94EFD">
            <w:pPr>
              <w:autoSpaceDN w:val="0"/>
              <w:jc w:val="center"/>
              <w:rPr>
                <w:rFonts w:ascii="宋体" w:hAnsi="宋体"/>
                <w:sz w:val="18"/>
              </w:rPr>
            </w:pPr>
            <w:r>
              <w:rPr>
                <w:rFonts w:ascii="宋体" w:hAnsi="宋体" w:hint="eastAsia"/>
                <w:sz w:val="18"/>
              </w:rPr>
              <w:lastRenderedPageBreak/>
              <w:t>认购（申购）起点</w:t>
            </w:r>
          </w:p>
        </w:tc>
        <w:tc>
          <w:tcPr>
            <w:tcW w:w="7918" w:type="dxa"/>
            <w:tcBorders>
              <w:top w:val="single" w:sz="4" w:space="0" w:color="auto"/>
              <w:left w:val="single" w:sz="4" w:space="0" w:color="auto"/>
              <w:bottom w:val="single" w:sz="4" w:space="0" w:color="auto"/>
              <w:right w:val="single" w:sz="4" w:space="0" w:color="auto"/>
            </w:tcBorders>
            <w:vAlign w:val="center"/>
          </w:tcPr>
          <w:p w14:paraId="546559AC" w14:textId="77777777" w:rsidR="00E859A8" w:rsidRDefault="00D94EFD">
            <w:pPr>
              <w:autoSpaceDN w:val="0"/>
              <w:jc w:val="left"/>
              <w:rPr>
                <w:rFonts w:ascii="宋体" w:hAnsi="宋体"/>
                <w:sz w:val="18"/>
              </w:rPr>
            </w:pPr>
            <w:r>
              <w:rPr>
                <w:rFonts w:ascii="宋体" w:hAnsi="宋体"/>
                <w:sz w:val="18"/>
              </w:rPr>
              <w:t>1</w:t>
            </w:r>
            <w:r>
              <w:rPr>
                <w:rFonts w:ascii="宋体" w:hAnsi="宋体" w:hint="eastAsia"/>
                <w:sz w:val="18"/>
              </w:rPr>
              <w:t>元人民币为</w:t>
            </w:r>
            <w:r>
              <w:rPr>
                <w:rFonts w:ascii="宋体" w:hAnsi="宋体"/>
                <w:sz w:val="18"/>
              </w:rPr>
              <w:t>1</w:t>
            </w:r>
            <w:r>
              <w:rPr>
                <w:rFonts w:ascii="宋体" w:hAnsi="宋体" w:hint="eastAsia"/>
                <w:sz w:val="18"/>
              </w:rPr>
              <w:t>份，首次投资最低份额为</w:t>
            </w:r>
            <w:r>
              <w:rPr>
                <w:rFonts w:ascii="宋体" w:hAnsi="宋体"/>
                <w:sz w:val="18"/>
              </w:rPr>
              <w:t>1</w:t>
            </w:r>
            <w:r>
              <w:rPr>
                <w:rFonts w:ascii="宋体" w:hAnsi="宋体" w:hint="eastAsia"/>
                <w:sz w:val="18"/>
              </w:rPr>
              <w:t>万份；超出首次投资最低份额部分，须为</w:t>
            </w:r>
            <w:r>
              <w:rPr>
                <w:rFonts w:ascii="宋体" w:hAnsi="宋体"/>
                <w:sz w:val="18"/>
              </w:rPr>
              <w:t>1</w:t>
            </w:r>
            <w:r>
              <w:rPr>
                <w:rFonts w:ascii="宋体" w:hAnsi="宋体" w:hint="eastAsia"/>
                <w:sz w:val="18"/>
              </w:rPr>
              <w:t>千份或</w:t>
            </w:r>
            <w:r>
              <w:rPr>
                <w:rFonts w:ascii="宋体" w:hAnsi="宋体"/>
                <w:sz w:val="18"/>
              </w:rPr>
              <w:t>1</w:t>
            </w:r>
            <w:r>
              <w:rPr>
                <w:rFonts w:ascii="宋体" w:hAnsi="宋体" w:hint="eastAsia"/>
                <w:sz w:val="18"/>
              </w:rPr>
              <w:t>千份的整数倍。</w:t>
            </w:r>
          </w:p>
        </w:tc>
      </w:tr>
      <w:tr w:rsidR="00E859A8" w14:paraId="79154F07" w14:textId="77777777">
        <w:tc>
          <w:tcPr>
            <w:tcW w:w="1499" w:type="dxa"/>
            <w:tcBorders>
              <w:top w:val="single" w:sz="4" w:space="0" w:color="auto"/>
              <w:left w:val="single" w:sz="4" w:space="0" w:color="auto"/>
              <w:bottom w:val="single" w:sz="4" w:space="0" w:color="auto"/>
              <w:right w:val="single" w:sz="4" w:space="0" w:color="auto"/>
            </w:tcBorders>
            <w:vAlign w:val="center"/>
          </w:tcPr>
          <w:p w14:paraId="34ACFA59" w14:textId="77777777" w:rsidR="00E859A8" w:rsidRDefault="00D94EFD">
            <w:pPr>
              <w:autoSpaceDN w:val="0"/>
              <w:jc w:val="center"/>
              <w:rPr>
                <w:rFonts w:ascii="宋体" w:hAnsi="宋体"/>
                <w:sz w:val="18"/>
              </w:rPr>
            </w:pPr>
            <w:r>
              <w:rPr>
                <w:rFonts w:ascii="宋体" w:hAnsi="宋体" w:hint="eastAsia"/>
                <w:sz w:val="18"/>
              </w:rPr>
              <w:t>认购（申购）上限</w:t>
            </w:r>
          </w:p>
        </w:tc>
        <w:tc>
          <w:tcPr>
            <w:tcW w:w="7918" w:type="dxa"/>
            <w:tcBorders>
              <w:top w:val="single" w:sz="4" w:space="0" w:color="auto"/>
              <w:left w:val="single" w:sz="4" w:space="0" w:color="auto"/>
              <w:bottom w:val="single" w:sz="4" w:space="0" w:color="auto"/>
              <w:right w:val="single" w:sz="4" w:space="0" w:color="auto"/>
            </w:tcBorders>
            <w:vAlign w:val="center"/>
          </w:tcPr>
          <w:p w14:paraId="6B0CE9D1" w14:textId="77777777" w:rsidR="00E859A8" w:rsidRDefault="00D94EFD">
            <w:pPr>
              <w:autoSpaceDN w:val="0"/>
              <w:jc w:val="left"/>
              <w:rPr>
                <w:rFonts w:ascii="宋体" w:hAnsi="宋体"/>
                <w:sz w:val="18"/>
              </w:rPr>
            </w:pPr>
            <w:r>
              <w:rPr>
                <w:rFonts w:ascii="宋体" w:hAnsi="宋体" w:hint="eastAsia"/>
                <w:sz w:val="18"/>
              </w:rPr>
              <w:t>单一投资者累计最大购买金额</w:t>
            </w:r>
            <w:r>
              <w:rPr>
                <w:rFonts w:ascii="宋体" w:hAnsi="宋体" w:hint="eastAsia"/>
                <w:sz w:val="18"/>
              </w:rPr>
              <w:t>2000</w:t>
            </w:r>
            <w:r>
              <w:rPr>
                <w:rFonts w:ascii="宋体" w:hAnsi="宋体" w:hint="eastAsia"/>
                <w:sz w:val="18"/>
              </w:rPr>
              <w:t>万元。</w:t>
            </w:r>
          </w:p>
          <w:p w14:paraId="6972EDAF" w14:textId="77777777" w:rsidR="00E859A8" w:rsidRDefault="00D94EFD">
            <w:pPr>
              <w:autoSpaceDN w:val="0"/>
              <w:jc w:val="left"/>
              <w:rPr>
                <w:rFonts w:ascii="宋体" w:hAnsi="宋体"/>
                <w:sz w:val="18"/>
              </w:rPr>
            </w:pPr>
            <w:r>
              <w:rPr>
                <w:rFonts w:ascii="宋体" w:hAnsi="宋体" w:hint="eastAsia"/>
                <w:sz w:val="18"/>
              </w:rPr>
              <w:t>单一投资者持有份额不得超过总份额的</w:t>
            </w:r>
            <w:r>
              <w:rPr>
                <w:rFonts w:ascii="宋体" w:hAnsi="宋体" w:hint="eastAsia"/>
                <w:sz w:val="18"/>
              </w:rPr>
              <w:t>50%</w:t>
            </w:r>
            <w:r>
              <w:rPr>
                <w:rFonts w:ascii="宋体" w:hAnsi="宋体" w:hint="eastAsia"/>
                <w:sz w:val="18"/>
              </w:rPr>
              <w:t>，非因投资管理人主观因素导致突破前款规定比例限制的，在单一投资者持有比例降至</w:t>
            </w:r>
            <w:r>
              <w:rPr>
                <w:rFonts w:ascii="宋体" w:hAnsi="宋体" w:hint="eastAsia"/>
                <w:sz w:val="18"/>
              </w:rPr>
              <w:t>50</w:t>
            </w:r>
            <w:r>
              <w:rPr>
                <w:rFonts w:ascii="宋体" w:hAnsi="宋体" w:hint="eastAsia"/>
                <w:sz w:val="18"/>
              </w:rPr>
              <w:t>％以下之前，管理人有权不再接受该投资者对该理财产品的申购申请，投资者持有份额的计算以管理人登记为准。</w:t>
            </w:r>
          </w:p>
        </w:tc>
      </w:tr>
      <w:tr w:rsidR="00E859A8" w14:paraId="4560A759" w14:textId="77777777">
        <w:tc>
          <w:tcPr>
            <w:tcW w:w="1499" w:type="dxa"/>
            <w:tcBorders>
              <w:top w:val="single" w:sz="4" w:space="0" w:color="auto"/>
              <w:left w:val="single" w:sz="4" w:space="0" w:color="auto"/>
              <w:bottom w:val="single" w:sz="4" w:space="0" w:color="auto"/>
              <w:right w:val="single" w:sz="4" w:space="0" w:color="auto"/>
            </w:tcBorders>
            <w:vAlign w:val="center"/>
          </w:tcPr>
          <w:p w14:paraId="4185B46E"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托管费率</w:t>
            </w:r>
          </w:p>
        </w:tc>
        <w:tc>
          <w:tcPr>
            <w:tcW w:w="7918" w:type="dxa"/>
            <w:tcBorders>
              <w:top w:val="single" w:sz="4" w:space="0" w:color="auto"/>
              <w:left w:val="single" w:sz="4" w:space="0" w:color="auto"/>
              <w:bottom w:val="single" w:sz="4" w:space="0" w:color="auto"/>
              <w:right w:val="single" w:sz="4" w:space="0" w:color="auto"/>
            </w:tcBorders>
            <w:vAlign w:val="center"/>
          </w:tcPr>
          <w:p w14:paraId="4167C796"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0.005%</w:t>
            </w:r>
            <w:r>
              <w:rPr>
                <w:rFonts w:hint="eastAsia"/>
                <w:sz w:val="18"/>
                <w:szCs w:val="18"/>
              </w:rPr>
              <w:t>（年化）</w:t>
            </w:r>
          </w:p>
        </w:tc>
      </w:tr>
      <w:tr w:rsidR="00E859A8" w14:paraId="5D7F45F4" w14:textId="77777777">
        <w:tc>
          <w:tcPr>
            <w:tcW w:w="1499" w:type="dxa"/>
            <w:tcBorders>
              <w:top w:val="single" w:sz="4" w:space="0" w:color="auto"/>
              <w:left w:val="single" w:sz="4" w:space="0" w:color="auto"/>
              <w:bottom w:val="single" w:sz="4" w:space="0" w:color="auto"/>
              <w:right w:val="single" w:sz="4" w:space="0" w:color="auto"/>
            </w:tcBorders>
            <w:vAlign w:val="center"/>
          </w:tcPr>
          <w:p w14:paraId="2800E3B7"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固定管理费率</w:t>
            </w:r>
          </w:p>
        </w:tc>
        <w:tc>
          <w:tcPr>
            <w:tcW w:w="7918" w:type="dxa"/>
            <w:tcBorders>
              <w:top w:val="single" w:sz="4" w:space="0" w:color="auto"/>
              <w:left w:val="single" w:sz="4" w:space="0" w:color="auto"/>
              <w:bottom w:val="single" w:sz="4" w:space="0" w:color="auto"/>
              <w:right w:val="single" w:sz="4" w:space="0" w:color="auto"/>
            </w:tcBorders>
            <w:vAlign w:val="center"/>
          </w:tcPr>
          <w:p w14:paraId="452CA9EA" w14:textId="77777777" w:rsidR="00E859A8" w:rsidRDefault="00D94EFD">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rPr>
              <w:t>0</w:t>
            </w:r>
            <w:r>
              <w:rPr>
                <w:sz w:val="18"/>
                <w:szCs w:val="18"/>
              </w:rPr>
              <w:t>.</w:t>
            </w:r>
            <w:r>
              <w:rPr>
                <w:rFonts w:hint="eastAsia"/>
                <w:sz w:val="18"/>
                <w:szCs w:val="18"/>
              </w:rPr>
              <w:t>8%</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rPr>
              <w:t>0</w:t>
            </w:r>
            <w:r>
              <w:rPr>
                <w:sz w:val="18"/>
                <w:szCs w:val="18"/>
              </w:rPr>
              <w:t>.</w:t>
            </w:r>
            <w:r>
              <w:rPr>
                <w:rFonts w:hint="eastAsia"/>
                <w:sz w:val="18"/>
                <w:szCs w:val="18"/>
              </w:rPr>
              <w:t>8%</w:t>
            </w:r>
            <w:r>
              <w:rPr>
                <w:rFonts w:hint="eastAsia"/>
                <w:sz w:val="18"/>
                <w:szCs w:val="18"/>
              </w:rPr>
              <w:t>（年化）。</w:t>
            </w:r>
          </w:p>
        </w:tc>
      </w:tr>
      <w:tr w:rsidR="00E859A8" w14:paraId="688CF825" w14:textId="77777777">
        <w:tc>
          <w:tcPr>
            <w:tcW w:w="1499" w:type="dxa"/>
            <w:tcBorders>
              <w:top w:val="single" w:sz="4" w:space="0" w:color="auto"/>
              <w:left w:val="single" w:sz="4" w:space="0" w:color="auto"/>
              <w:bottom w:val="single" w:sz="4" w:space="0" w:color="auto"/>
              <w:right w:val="single" w:sz="4" w:space="0" w:color="auto"/>
            </w:tcBorders>
            <w:vAlign w:val="center"/>
          </w:tcPr>
          <w:p w14:paraId="76AB9A92"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其他费用（如有）</w:t>
            </w:r>
          </w:p>
        </w:tc>
        <w:tc>
          <w:tcPr>
            <w:tcW w:w="7918" w:type="dxa"/>
            <w:tcBorders>
              <w:top w:val="single" w:sz="4" w:space="0" w:color="auto"/>
              <w:left w:val="single" w:sz="4" w:space="0" w:color="auto"/>
              <w:bottom w:val="single" w:sz="4" w:space="0" w:color="auto"/>
              <w:right w:val="single" w:sz="4" w:space="0" w:color="auto"/>
            </w:tcBorders>
            <w:vAlign w:val="center"/>
          </w:tcPr>
          <w:p w14:paraId="3055D9B0" w14:textId="77777777" w:rsidR="00E859A8" w:rsidRDefault="00D94EFD">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交易费用（包括但不限于交易佣金、撮合费用等）、理财计划外包估值服务费、理财计划验资费、审计费、律师费、信息披露费、清算费、执行费用等</w:t>
            </w:r>
            <w:r>
              <w:rPr>
                <w:rFonts w:cs="Times New Roman" w:hint="eastAsia"/>
                <w:sz w:val="18"/>
                <w:szCs w:val="18"/>
              </w:rPr>
              <w:t>相关费用，具体以实际发生为准。</w:t>
            </w:r>
          </w:p>
        </w:tc>
      </w:tr>
      <w:tr w:rsidR="00E859A8" w14:paraId="32786041" w14:textId="77777777">
        <w:tc>
          <w:tcPr>
            <w:tcW w:w="1499" w:type="dxa"/>
            <w:tcBorders>
              <w:top w:val="single" w:sz="4" w:space="0" w:color="auto"/>
              <w:left w:val="single" w:sz="4" w:space="0" w:color="auto"/>
              <w:bottom w:val="single" w:sz="4" w:space="0" w:color="auto"/>
              <w:right w:val="single" w:sz="4" w:space="0" w:color="auto"/>
            </w:tcBorders>
            <w:vAlign w:val="center"/>
          </w:tcPr>
          <w:p w14:paraId="0318A106"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浮动管理费</w:t>
            </w:r>
          </w:p>
        </w:tc>
        <w:tc>
          <w:tcPr>
            <w:tcW w:w="7918" w:type="dxa"/>
            <w:tcBorders>
              <w:top w:val="single" w:sz="4" w:space="0" w:color="auto"/>
              <w:left w:val="single" w:sz="4" w:space="0" w:color="auto"/>
              <w:bottom w:val="single" w:sz="4" w:space="0" w:color="auto"/>
              <w:right w:val="single" w:sz="4" w:space="0" w:color="auto"/>
            </w:tcBorders>
            <w:vAlign w:val="center"/>
          </w:tcPr>
          <w:p w14:paraId="62E62723" w14:textId="77777777" w:rsidR="00E859A8" w:rsidRDefault="00D94EFD">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若本理财产品扣除产品固定管理费（如有）、托管费及其他费用后</w:t>
            </w:r>
            <w:r>
              <w:rPr>
                <w:rFonts w:cs="Times New Roman" w:hint="eastAsia"/>
                <w:sz w:val="18"/>
                <w:szCs w:val="18"/>
              </w:rPr>
              <w:t>,</w:t>
            </w:r>
            <w:r>
              <w:rPr>
                <w:rFonts w:cs="Times New Roman" w:hint="eastAsia"/>
                <w:sz w:val="18"/>
                <w:szCs w:val="18"/>
              </w:rPr>
              <w:t>每个投资运作周期内的累计折合年化收益率超过业绩比较基准，则超出部分</w:t>
            </w:r>
            <w:r>
              <w:rPr>
                <w:rFonts w:cs="Times New Roman" w:hint="eastAsia"/>
                <w:sz w:val="18"/>
                <w:szCs w:val="18"/>
              </w:rPr>
              <w:t>50%</w:t>
            </w:r>
            <w:r>
              <w:rPr>
                <w:rFonts w:cs="Times New Roman" w:hint="eastAsia"/>
                <w:sz w:val="18"/>
                <w:szCs w:val="18"/>
              </w:rPr>
              <w:t>归客户所有，</w:t>
            </w:r>
            <w:r>
              <w:rPr>
                <w:rFonts w:cs="Times New Roman" w:hint="eastAsia"/>
                <w:sz w:val="18"/>
                <w:szCs w:val="18"/>
              </w:rPr>
              <w:t>50%</w:t>
            </w:r>
            <w:r>
              <w:rPr>
                <w:rFonts w:cs="Times New Roman" w:hint="eastAsia"/>
                <w:sz w:val="18"/>
                <w:szCs w:val="18"/>
              </w:rPr>
              <w:t>作为投资管理人的浮动管理费。</w:t>
            </w:r>
          </w:p>
        </w:tc>
      </w:tr>
      <w:tr w:rsidR="00E859A8" w14:paraId="4AF47777" w14:textId="77777777">
        <w:tc>
          <w:tcPr>
            <w:tcW w:w="1499" w:type="dxa"/>
            <w:tcBorders>
              <w:top w:val="single" w:sz="4" w:space="0" w:color="auto"/>
              <w:left w:val="single" w:sz="4" w:space="0" w:color="auto"/>
              <w:bottom w:val="single" w:sz="4" w:space="0" w:color="auto"/>
              <w:right w:val="single" w:sz="4" w:space="0" w:color="auto"/>
            </w:tcBorders>
            <w:vAlign w:val="center"/>
          </w:tcPr>
          <w:p w14:paraId="4F1175BA" w14:textId="77777777" w:rsidR="00E859A8" w:rsidRDefault="00D94EF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sz="4" w:space="0" w:color="auto"/>
              <w:left w:val="single" w:sz="4" w:space="0" w:color="auto"/>
              <w:bottom w:val="single" w:sz="4" w:space="0" w:color="auto"/>
              <w:right w:val="single" w:sz="4" w:space="0" w:color="auto"/>
            </w:tcBorders>
            <w:vAlign w:val="center"/>
          </w:tcPr>
          <w:p w14:paraId="6BDE51C9" w14:textId="77777777" w:rsidR="00E859A8" w:rsidRDefault="00D94EFD">
            <w:pPr>
              <w:pStyle w:val="ab"/>
              <w:widowControl/>
              <w:spacing w:before="100" w:beforeAutospacing="1" w:after="100" w:afterAutospacing="1"/>
              <w:rPr>
                <w:sz w:val="18"/>
                <w:szCs w:val="18"/>
              </w:rPr>
            </w:pPr>
            <w:r>
              <w:rPr>
                <w:rFonts w:ascii="宋体" w:hAnsi="宋体" w:hint="eastAsia"/>
                <w:kern w:val="0"/>
                <w:sz w:val="18"/>
                <w:szCs w:val="18"/>
              </w:rPr>
              <w:t>单位净值为提取相关费用后的单位理财产品份额净值，单位净值</w:t>
            </w:r>
            <w:r>
              <w:rPr>
                <w:rFonts w:ascii="宋体" w:hAnsi="宋体" w:hint="eastAsia"/>
                <w:kern w:val="0"/>
                <w:sz w:val="18"/>
                <w:szCs w:val="18"/>
              </w:rPr>
              <w:t>=</w:t>
            </w:r>
            <w:r>
              <w:rPr>
                <w:rFonts w:ascii="宋体" w:hAnsi="宋体" w:hint="eastAsia"/>
                <w:kern w:val="0"/>
                <w:sz w:val="18"/>
                <w:szCs w:val="18"/>
              </w:rPr>
              <w:t>理财产品估值日理财产品总净值</w:t>
            </w:r>
            <w:r>
              <w:rPr>
                <w:rFonts w:ascii="宋体" w:hAnsi="宋体" w:hint="eastAsia"/>
                <w:kern w:val="0"/>
                <w:sz w:val="18"/>
                <w:szCs w:val="18"/>
              </w:rPr>
              <w:t>/</w:t>
            </w:r>
            <w:r>
              <w:rPr>
                <w:rFonts w:ascii="宋体" w:hAnsi="宋体" w:hint="eastAsia"/>
                <w:kern w:val="0"/>
                <w:sz w:val="18"/>
                <w:szCs w:val="18"/>
              </w:rPr>
              <w:t>产品总份额。理财产品总净值</w:t>
            </w:r>
            <w:r>
              <w:rPr>
                <w:rFonts w:ascii="宋体" w:hAnsi="宋体" w:hint="eastAsia"/>
                <w:kern w:val="0"/>
                <w:sz w:val="18"/>
                <w:szCs w:val="18"/>
              </w:rPr>
              <w:t>=</w:t>
            </w:r>
            <w:r>
              <w:rPr>
                <w:rFonts w:ascii="宋体" w:hAnsi="宋体" w:hint="eastAsia"/>
                <w:kern w:val="0"/>
                <w:sz w:val="18"/>
                <w:szCs w:val="18"/>
              </w:rPr>
              <w:t>理财产品认购（申购）总额</w:t>
            </w:r>
            <w:r>
              <w:rPr>
                <w:rFonts w:ascii="宋体" w:hAnsi="宋体" w:hint="eastAsia"/>
                <w:kern w:val="0"/>
                <w:sz w:val="18"/>
                <w:szCs w:val="18"/>
              </w:rPr>
              <w:t>-</w:t>
            </w:r>
            <w:r>
              <w:rPr>
                <w:rFonts w:ascii="宋体" w:hAnsi="宋体" w:hint="eastAsia"/>
                <w:kern w:val="0"/>
                <w:sz w:val="18"/>
                <w:szCs w:val="18"/>
              </w:rPr>
              <w:t>理财产品赎回总额</w:t>
            </w:r>
            <w:r>
              <w:rPr>
                <w:rFonts w:ascii="宋体" w:hAnsi="宋体" w:hint="eastAsia"/>
                <w:kern w:val="0"/>
                <w:sz w:val="18"/>
                <w:szCs w:val="18"/>
              </w:rPr>
              <w:t>+</w:t>
            </w:r>
            <w:r>
              <w:rPr>
                <w:rFonts w:ascii="宋体" w:hAnsi="宋体" w:hint="eastAsia"/>
                <w:kern w:val="0"/>
                <w:sz w:val="18"/>
                <w:szCs w:val="18"/>
              </w:rPr>
              <w:t>理财产品所获总收益</w:t>
            </w:r>
            <w:r>
              <w:rPr>
                <w:rFonts w:ascii="宋体" w:hAnsi="宋体" w:hint="eastAsia"/>
                <w:kern w:val="0"/>
                <w:sz w:val="18"/>
                <w:szCs w:val="18"/>
              </w:rPr>
              <w:t>-</w:t>
            </w:r>
            <w:r>
              <w:rPr>
                <w:rFonts w:ascii="宋体" w:hAnsi="宋体" w:hint="eastAsia"/>
                <w:kern w:val="0"/>
                <w:sz w:val="18"/>
                <w:szCs w:val="18"/>
              </w:rPr>
              <w:t>分红（如有）</w:t>
            </w:r>
            <w:r>
              <w:rPr>
                <w:rFonts w:ascii="宋体" w:hAnsi="宋体" w:hint="eastAsia"/>
                <w:kern w:val="0"/>
                <w:sz w:val="18"/>
                <w:szCs w:val="18"/>
              </w:rPr>
              <w:t>-</w:t>
            </w:r>
            <w:r>
              <w:rPr>
                <w:rFonts w:ascii="宋体" w:hAnsi="宋体" w:hint="eastAsia"/>
                <w:kern w:val="0"/>
                <w:sz w:val="18"/>
                <w:szCs w:val="18"/>
              </w:rPr>
              <w:t>理财产品总费用（包括但不限于固定管理费、托管费等）</w:t>
            </w:r>
          </w:p>
        </w:tc>
      </w:tr>
      <w:tr w:rsidR="00E859A8" w14:paraId="64758C54" w14:textId="77777777">
        <w:tc>
          <w:tcPr>
            <w:tcW w:w="1499" w:type="dxa"/>
            <w:tcBorders>
              <w:top w:val="single" w:sz="4" w:space="0" w:color="auto"/>
              <w:left w:val="single" w:sz="4" w:space="0" w:color="auto"/>
              <w:bottom w:val="single" w:sz="4" w:space="0" w:color="auto"/>
              <w:right w:val="single" w:sz="4" w:space="0" w:color="auto"/>
            </w:tcBorders>
            <w:vAlign w:val="center"/>
          </w:tcPr>
          <w:p w14:paraId="1F97FC5B"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sz="4" w:space="0" w:color="auto"/>
              <w:left w:val="single" w:sz="4" w:space="0" w:color="auto"/>
              <w:bottom w:val="single" w:sz="4" w:space="0" w:color="auto"/>
              <w:right w:val="single" w:sz="4" w:space="0" w:color="auto"/>
            </w:tcBorders>
            <w:vAlign w:val="center"/>
          </w:tcPr>
          <w:p w14:paraId="24B8E6A8" w14:textId="77777777" w:rsidR="00E859A8" w:rsidRDefault="00D94EFD">
            <w:pPr>
              <w:adjustRightInd w:val="0"/>
              <w:snapToGrid w:val="0"/>
              <w:spacing w:line="300" w:lineRule="auto"/>
              <w:jc w:val="center"/>
              <w:rPr>
                <w:sz w:val="18"/>
                <w:szCs w:val="18"/>
              </w:rPr>
            </w:pPr>
            <w:r>
              <w:rPr>
                <w:rFonts w:hint="eastAsia"/>
                <w:sz w:val="18"/>
                <w:szCs w:val="18"/>
              </w:rPr>
              <w:t>具有证券投资基金托管业务资格的商业银行</w:t>
            </w:r>
          </w:p>
        </w:tc>
      </w:tr>
      <w:tr w:rsidR="00E859A8" w14:paraId="5898A4D7" w14:textId="77777777">
        <w:tc>
          <w:tcPr>
            <w:tcW w:w="1499" w:type="dxa"/>
            <w:tcBorders>
              <w:top w:val="single" w:sz="4" w:space="0" w:color="auto"/>
              <w:left w:val="single" w:sz="4" w:space="0" w:color="auto"/>
              <w:bottom w:val="single" w:sz="4" w:space="0" w:color="auto"/>
              <w:right w:val="single" w:sz="4" w:space="0" w:color="auto"/>
            </w:tcBorders>
            <w:vAlign w:val="center"/>
          </w:tcPr>
          <w:p w14:paraId="0C954F6E" w14:textId="77777777" w:rsidR="00E859A8" w:rsidRDefault="00D94EF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sz="4" w:space="0" w:color="auto"/>
              <w:left w:val="single" w:sz="4" w:space="0" w:color="auto"/>
              <w:bottom w:val="single" w:sz="4" w:space="0" w:color="auto"/>
              <w:right w:val="single" w:sz="4" w:space="0" w:color="auto"/>
            </w:tcBorders>
            <w:vAlign w:val="center"/>
          </w:tcPr>
          <w:p w14:paraId="5714EB6D" w14:textId="77777777" w:rsidR="00E859A8" w:rsidRDefault="00D94EFD">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w:t>
            </w:r>
            <w:r>
              <w:rPr>
                <w:rFonts w:hint="eastAsia"/>
                <w:sz w:val="18"/>
                <w:szCs w:val="18"/>
              </w:rPr>
              <w:t>/</w:t>
            </w:r>
            <w:r>
              <w:rPr>
                <w:rFonts w:hint="eastAsia"/>
                <w:sz w:val="18"/>
                <w:szCs w:val="18"/>
              </w:rPr>
              <w:t>申购、协助管理人与投资者签订理财计划合同、协助管理人进行信息披露、接受投资者咨询和客户维护等销售服务。</w:t>
            </w:r>
          </w:p>
        </w:tc>
      </w:tr>
      <w:tr w:rsidR="00E859A8" w14:paraId="40E1306A" w14:textId="77777777">
        <w:tc>
          <w:tcPr>
            <w:tcW w:w="1499" w:type="dxa"/>
            <w:tcBorders>
              <w:top w:val="single" w:sz="4" w:space="0" w:color="auto"/>
              <w:left w:val="single" w:sz="4" w:space="0" w:color="auto"/>
              <w:bottom w:val="single" w:sz="4" w:space="0" w:color="auto"/>
              <w:right w:val="single" w:sz="4" w:space="0" w:color="auto"/>
            </w:tcBorders>
            <w:vAlign w:val="center"/>
          </w:tcPr>
          <w:p w14:paraId="72F8A9B0"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净值披露</w:t>
            </w:r>
          </w:p>
        </w:tc>
        <w:tc>
          <w:tcPr>
            <w:tcW w:w="7918" w:type="dxa"/>
            <w:tcBorders>
              <w:top w:val="single" w:sz="4" w:space="0" w:color="auto"/>
              <w:left w:val="single" w:sz="4" w:space="0" w:color="auto"/>
              <w:bottom w:val="single" w:sz="4" w:space="0" w:color="auto"/>
              <w:right w:val="single" w:sz="4" w:space="0" w:color="auto"/>
            </w:tcBorders>
            <w:vAlign w:val="center"/>
          </w:tcPr>
          <w:p w14:paraId="4892C01F" w14:textId="77777777" w:rsidR="00E859A8" w:rsidRDefault="00D94EFD">
            <w:pPr>
              <w:pStyle w:val="msonormalcxspmiddle"/>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rsidR="00E859A8" w14:paraId="47E05F5E" w14:textId="77777777">
        <w:tc>
          <w:tcPr>
            <w:tcW w:w="1499" w:type="dxa"/>
            <w:tcBorders>
              <w:top w:val="single" w:sz="4" w:space="0" w:color="auto"/>
              <w:left w:val="single" w:sz="4" w:space="0" w:color="auto"/>
              <w:bottom w:val="single" w:sz="4" w:space="0" w:color="auto"/>
              <w:right w:val="single" w:sz="4" w:space="0" w:color="auto"/>
            </w:tcBorders>
            <w:vAlign w:val="center"/>
          </w:tcPr>
          <w:p w14:paraId="1A0B3378"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税款规定</w:t>
            </w:r>
          </w:p>
        </w:tc>
        <w:tc>
          <w:tcPr>
            <w:tcW w:w="7918" w:type="dxa"/>
            <w:tcBorders>
              <w:top w:val="single" w:sz="4" w:space="0" w:color="auto"/>
              <w:left w:val="single" w:sz="4" w:space="0" w:color="auto"/>
              <w:bottom w:val="single" w:sz="4" w:space="0" w:color="auto"/>
              <w:right w:val="single" w:sz="4" w:space="0" w:color="auto"/>
            </w:tcBorders>
            <w:vAlign w:val="center"/>
          </w:tcPr>
          <w:p w14:paraId="3AC237B8" w14:textId="77777777" w:rsidR="00E859A8" w:rsidRDefault="00D94EFD">
            <w:pPr>
              <w:autoSpaceDE w:val="0"/>
              <w:autoSpaceDN w:val="0"/>
              <w:adjustRightInd w:val="0"/>
              <w:jc w:val="left"/>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ascii="宋体" w:hAnsi="宋体" w:cs="宋体" w:hint="eastAsia"/>
                <w:kern w:val="0"/>
                <w:sz w:val="18"/>
                <w:szCs w:val="18"/>
              </w:rPr>
              <w:t>,</w:t>
            </w:r>
            <w:r>
              <w:rPr>
                <w:rFonts w:ascii="宋体" w:hAnsi="宋体" w:cs="宋体" w:hint="eastAsia"/>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rsidR="00E859A8" w14:paraId="49B63383" w14:textId="77777777">
        <w:tc>
          <w:tcPr>
            <w:tcW w:w="1499" w:type="dxa"/>
            <w:tcBorders>
              <w:top w:val="single" w:sz="4" w:space="0" w:color="auto"/>
              <w:left w:val="single" w:sz="4" w:space="0" w:color="auto"/>
              <w:bottom w:val="single" w:sz="4" w:space="0" w:color="auto"/>
              <w:right w:val="single" w:sz="4" w:space="0" w:color="auto"/>
            </w:tcBorders>
            <w:vAlign w:val="center"/>
          </w:tcPr>
          <w:p w14:paraId="05B7649B" w14:textId="77777777" w:rsidR="00E859A8" w:rsidRDefault="00D94EFD">
            <w:pPr>
              <w:pStyle w:val="msonormalcxspmiddle"/>
              <w:adjustRightInd w:val="0"/>
              <w:snapToGrid w:val="0"/>
              <w:spacing w:before="0" w:beforeAutospacing="0" w:after="0" w:afterAutospacing="0" w:line="288" w:lineRule="auto"/>
              <w:jc w:val="center"/>
              <w:rPr>
                <w:rFonts w:cs="Times New Roman"/>
                <w:b/>
                <w:sz w:val="18"/>
                <w:szCs w:val="18"/>
              </w:rPr>
            </w:pPr>
            <w:r>
              <w:rPr>
                <w:rFonts w:cs="Times New Roman" w:hint="eastAsia"/>
                <w:b/>
                <w:sz w:val="18"/>
                <w:szCs w:val="18"/>
              </w:rPr>
              <w:t>提前终止权</w:t>
            </w:r>
          </w:p>
        </w:tc>
        <w:tc>
          <w:tcPr>
            <w:tcW w:w="7918" w:type="dxa"/>
            <w:tcBorders>
              <w:top w:val="single" w:sz="4" w:space="0" w:color="auto"/>
              <w:left w:val="single" w:sz="4" w:space="0" w:color="auto"/>
              <w:bottom w:val="single" w:sz="4" w:space="0" w:color="auto"/>
              <w:right w:val="single" w:sz="4" w:space="0" w:color="auto"/>
            </w:tcBorders>
            <w:vAlign w:val="center"/>
          </w:tcPr>
          <w:p w14:paraId="679B3E69" w14:textId="77777777" w:rsidR="00E859A8" w:rsidRDefault="00D94EFD">
            <w:pPr>
              <w:pStyle w:val="msonormalcxspmiddle"/>
              <w:adjustRightInd w:val="0"/>
              <w:snapToGrid w:val="0"/>
              <w:spacing w:before="0" w:beforeAutospacing="0" w:after="0" w:afterAutospacing="0" w:line="288" w:lineRule="auto"/>
              <w:rPr>
                <w:rFonts w:cs="Times New Roman"/>
                <w:b/>
                <w:sz w:val="18"/>
                <w:szCs w:val="18"/>
              </w:rPr>
            </w:pPr>
            <w:r>
              <w:rPr>
                <w:rFonts w:cs="Times New Roman" w:hint="eastAsia"/>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rsidR="00E859A8" w14:paraId="78E70743" w14:textId="77777777">
        <w:tc>
          <w:tcPr>
            <w:tcW w:w="1499" w:type="dxa"/>
            <w:tcBorders>
              <w:top w:val="single" w:sz="4" w:space="0" w:color="auto"/>
              <w:left w:val="single" w:sz="4" w:space="0" w:color="auto"/>
              <w:bottom w:val="single" w:sz="4" w:space="0" w:color="auto"/>
              <w:right w:val="single" w:sz="4" w:space="0" w:color="auto"/>
            </w:tcBorders>
            <w:vAlign w:val="center"/>
          </w:tcPr>
          <w:p w14:paraId="6DE2FB9C"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工作日</w:t>
            </w:r>
          </w:p>
        </w:tc>
        <w:tc>
          <w:tcPr>
            <w:tcW w:w="7918" w:type="dxa"/>
            <w:tcBorders>
              <w:top w:val="single" w:sz="4" w:space="0" w:color="auto"/>
              <w:left w:val="single" w:sz="4" w:space="0" w:color="auto"/>
              <w:bottom w:val="single" w:sz="4" w:space="0" w:color="auto"/>
              <w:right w:val="single" w:sz="4" w:space="0" w:color="auto"/>
            </w:tcBorders>
            <w:vAlign w:val="center"/>
          </w:tcPr>
          <w:p w14:paraId="37DB7367" w14:textId="77777777" w:rsidR="00E859A8" w:rsidRDefault="00D94EFD">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国家法定工作日</w:t>
            </w:r>
          </w:p>
        </w:tc>
      </w:tr>
      <w:tr w:rsidR="00E859A8" w14:paraId="2A0A444D" w14:textId="77777777">
        <w:trPr>
          <w:trHeight w:val="72"/>
        </w:trPr>
        <w:tc>
          <w:tcPr>
            <w:tcW w:w="1499" w:type="dxa"/>
            <w:tcBorders>
              <w:top w:val="single" w:sz="4" w:space="0" w:color="auto"/>
              <w:left w:val="single" w:sz="4" w:space="0" w:color="auto"/>
              <w:bottom w:val="single" w:sz="4" w:space="0" w:color="auto"/>
              <w:right w:val="single" w:sz="4" w:space="0" w:color="auto"/>
            </w:tcBorders>
            <w:vAlign w:val="center"/>
          </w:tcPr>
          <w:p w14:paraId="520E952B" w14:textId="77777777" w:rsidR="00E859A8" w:rsidRDefault="00D94EFD">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其他规定</w:t>
            </w:r>
          </w:p>
        </w:tc>
        <w:tc>
          <w:tcPr>
            <w:tcW w:w="7918" w:type="dxa"/>
            <w:tcBorders>
              <w:top w:val="single" w:sz="4" w:space="0" w:color="auto"/>
              <w:left w:val="single" w:sz="4" w:space="0" w:color="auto"/>
              <w:bottom w:val="single" w:sz="4" w:space="0" w:color="auto"/>
              <w:right w:val="single" w:sz="4" w:space="0" w:color="auto"/>
            </w:tcBorders>
            <w:vAlign w:val="center"/>
          </w:tcPr>
          <w:p w14:paraId="147D67F8" w14:textId="77777777" w:rsidR="00E859A8" w:rsidRDefault="00D94EFD">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理财本金在理财计划成立日</w:t>
            </w:r>
            <w:r>
              <w:rPr>
                <w:rFonts w:cs="Times New Roman" w:hint="eastAsia"/>
                <w:sz w:val="18"/>
                <w:szCs w:val="18"/>
              </w:rPr>
              <w:t>/</w:t>
            </w:r>
            <w:r>
              <w:rPr>
                <w:rFonts w:cs="Times New Roman" w:hint="eastAsia"/>
                <w:sz w:val="18"/>
                <w:szCs w:val="18"/>
              </w:rPr>
              <w:t>投资周期起始日前交存于温州银行的，按当时实行的活期利率计息。赎回清算日到理财资金返还到账日为还本清算期，还本清算期内不计付利息和收益。</w:t>
            </w:r>
          </w:p>
        </w:tc>
      </w:tr>
    </w:tbl>
    <w:p w14:paraId="66EB0215" w14:textId="77777777" w:rsidR="00E859A8" w:rsidRDefault="00D94EFD">
      <w:pPr>
        <w:adjustRightInd w:val="0"/>
        <w:snapToGrid w:val="0"/>
        <w:spacing w:beforeLines="50" w:before="156" w:line="288" w:lineRule="auto"/>
        <w:rPr>
          <w:b/>
          <w:sz w:val="18"/>
          <w:szCs w:val="18"/>
        </w:rPr>
      </w:pPr>
      <w:r>
        <w:rPr>
          <w:rFonts w:hint="eastAsia"/>
          <w:b/>
          <w:sz w:val="18"/>
          <w:szCs w:val="18"/>
        </w:rPr>
        <w:t>投资管理</w:t>
      </w:r>
    </w:p>
    <w:p w14:paraId="60BBBDBD" w14:textId="77777777" w:rsidR="00E859A8" w:rsidRDefault="00D94EFD">
      <w:pPr>
        <w:adjustRightInd w:val="0"/>
        <w:snapToGrid w:val="0"/>
        <w:spacing w:line="300" w:lineRule="auto"/>
        <w:rPr>
          <w:sz w:val="18"/>
          <w:szCs w:val="18"/>
        </w:rPr>
      </w:pPr>
      <w:r>
        <w:rPr>
          <w:rFonts w:hint="eastAsia"/>
          <w:sz w:val="18"/>
          <w:szCs w:val="18"/>
        </w:rPr>
        <w:t>1</w:t>
      </w:r>
      <w:r>
        <w:rPr>
          <w:rFonts w:hint="eastAsia"/>
          <w:sz w:val="18"/>
          <w:szCs w:val="18"/>
        </w:rPr>
        <w:t>、投资范围</w:t>
      </w:r>
    </w:p>
    <w:p w14:paraId="1D6ADAE5" w14:textId="77777777" w:rsidR="00E859A8" w:rsidRDefault="00D94EFD">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w:t>
      </w:r>
      <w:r>
        <w:rPr>
          <w:rFonts w:hint="eastAsia"/>
          <w:sz w:val="18"/>
          <w:szCs w:val="18"/>
        </w:rPr>
        <w:lastRenderedPageBreak/>
        <w:t>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w:t>
      </w:r>
      <w:r>
        <w:rPr>
          <w:rFonts w:hint="eastAsia"/>
          <w:sz w:val="18"/>
          <w:szCs w:val="18"/>
        </w:rPr>
        <w:t>资资产的投资回报。投资者按其认购（申购）金额占该理财产品项下所有认购（申购）资金的比例，承担相应比例的收益和风险。</w:t>
      </w:r>
    </w:p>
    <w:p w14:paraId="275C57DD" w14:textId="77777777" w:rsidR="00E859A8" w:rsidRDefault="00D94EFD">
      <w:pPr>
        <w:adjustRightInd w:val="0"/>
        <w:snapToGrid w:val="0"/>
        <w:spacing w:line="288" w:lineRule="auto"/>
        <w:rPr>
          <w:sz w:val="18"/>
          <w:szCs w:val="18"/>
        </w:rPr>
      </w:pPr>
      <w:r>
        <w:rPr>
          <w:sz w:val="18"/>
          <w:szCs w:val="18"/>
        </w:rPr>
        <w:t>2</w:t>
      </w:r>
      <w:r>
        <w:rPr>
          <w:rFonts w:hint="eastAsia"/>
          <w:sz w:val="18"/>
          <w:szCs w:val="18"/>
        </w:rPr>
        <w:t>、投资范围与投资比例</w:t>
      </w:r>
    </w:p>
    <w:tbl>
      <w:tblPr>
        <w:tblW w:w="0" w:type="auto"/>
        <w:jc w:val="center"/>
        <w:tblLayout w:type="fixed"/>
        <w:tblLook w:val="04A0" w:firstRow="1" w:lastRow="0" w:firstColumn="1" w:lastColumn="0" w:noHBand="0" w:noVBand="1"/>
      </w:tblPr>
      <w:tblGrid>
        <w:gridCol w:w="2259"/>
        <w:gridCol w:w="5438"/>
        <w:gridCol w:w="1703"/>
      </w:tblGrid>
      <w:tr w:rsidR="00E859A8" w14:paraId="07D06DC6" w14:textId="77777777">
        <w:trPr>
          <w:trHeight w:val="270"/>
          <w:jc w:val="center"/>
        </w:trPr>
        <w:tc>
          <w:tcPr>
            <w:tcW w:w="2259" w:type="dxa"/>
            <w:tcBorders>
              <w:top w:val="single" w:sz="4" w:space="0" w:color="auto"/>
              <w:left w:val="single" w:sz="4" w:space="0" w:color="auto"/>
              <w:bottom w:val="single" w:sz="4" w:space="0" w:color="auto"/>
              <w:right w:val="single" w:sz="4" w:space="0" w:color="auto"/>
            </w:tcBorders>
            <w:vAlign w:val="bottom"/>
          </w:tcPr>
          <w:p w14:paraId="1CA37681" w14:textId="77777777" w:rsidR="00E859A8" w:rsidRDefault="00D94EFD">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资产类别</w:t>
            </w:r>
          </w:p>
        </w:tc>
        <w:tc>
          <w:tcPr>
            <w:tcW w:w="5438" w:type="dxa"/>
            <w:tcBorders>
              <w:top w:val="single" w:sz="4" w:space="0" w:color="auto"/>
              <w:left w:val="nil"/>
              <w:bottom w:val="single" w:sz="4" w:space="0" w:color="auto"/>
              <w:right w:val="single" w:sz="4" w:space="0" w:color="auto"/>
            </w:tcBorders>
            <w:vAlign w:val="bottom"/>
          </w:tcPr>
          <w:p w14:paraId="4605F5B3" w14:textId="77777777" w:rsidR="00E859A8" w:rsidRDefault="00D94EFD">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资产种类</w:t>
            </w:r>
          </w:p>
        </w:tc>
        <w:tc>
          <w:tcPr>
            <w:tcW w:w="1703" w:type="dxa"/>
            <w:tcBorders>
              <w:top w:val="single" w:sz="4" w:space="0" w:color="auto"/>
              <w:left w:val="nil"/>
              <w:bottom w:val="single" w:sz="4" w:space="0" w:color="auto"/>
              <w:right w:val="single" w:sz="4" w:space="0" w:color="auto"/>
            </w:tcBorders>
            <w:vAlign w:val="bottom"/>
          </w:tcPr>
          <w:p w14:paraId="6DAFAEC3" w14:textId="77777777" w:rsidR="00E859A8" w:rsidRDefault="00D94EFD">
            <w:pPr>
              <w:widowControl/>
              <w:jc w:val="left"/>
              <w:rPr>
                <w:rFonts w:ascii="宋体" w:hAnsi="宋体" w:cs="宋体"/>
                <w:color w:val="000000"/>
                <w:kern w:val="0"/>
                <w:sz w:val="18"/>
                <w:szCs w:val="18"/>
              </w:rPr>
            </w:pPr>
            <w:r>
              <w:rPr>
                <w:rFonts w:ascii="宋体" w:hAnsi="宋体" w:cs="宋体" w:hint="eastAsia"/>
                <w:color w:val="000000"/>
                <w:kern w:val="0"/>
                <w:sz w:val="18"/>
                <w:szCs w:val="18"/>
              </w:rPr>
              <w:t>投资比例</w:t>
            </w:r>
          </w:p>
        </w:tc>
      </w:tr>
      <w:tr w:rsidR="00E859A8" w14:paraId="62F6B6CF" w14:textId="77777777">
        <w:trPr>
          <w:trHeight w:val="270"/>
          <w:jc w:val="center"/>
        </w:trPr>
        <w:tc>
          <w:tcPr>
            <w:tcW w:w="2259" w:type="dxa"/>
            <w:vMerge w:val="restart"/>
            <w:tcBorders>
              <w:top w:val="nil"/>
              <w:left w:val="single" w:sz="4" w:space="0" w:color="auto"/>
              <w:bottom w:val="single" w:sz="4" w:space="0" w:color="000000"/>
              <w:right w:val="single" w:sz="4" w:space="0" w:color="auto"/>
            </w:tcBorders>
            <w:vAlign w:val="center"/>
          </w:tcPr>
          <w:p w14:paraId="620FED04" w14:textId="77777777" w:rsidR="00E859A8" w:rsidRDefault="00D94EFD">
            <w:pPr>
              <w:widowControl/>
              <w:rPr>
                <w:rFonts w:ascii="宋体" w:hAnsi="宋体" w:cs="宋体"/>
                <w:color w:val="000000"/>
                <w:kern w:val="0"/>
                <w:sz w:val="18"/>
                <w:szCs w:val="18"/>
              </w:rPr>
            </w:pPr>
            <w:r>
              <w:rPr>
                <w:rFonts w:ascii="宋体" w:hAnsi="宋体" w:cs="宋体" w:hint="eastAsia"/>
                <w:color w:val="000000"/>
                <w:kern w:val="0"/>
                <w:sz w:val="18"/>
                <w:szCs w:val="18"/>
              </w:rPr>
              <w:t>债权类资产</w:t>
            </w:r>
          </w:p>
        </w:tc>
        <w:tc>
          <w:tcPr>
            <w:tcW w:w="5438" w:type="dxa"/>
            <w:tcBorders>
              <w:top w:val="nil"/>
              <w:left w:val="nil"/>
              <w:bottom w:val="single" w:sz="4" w:space="0" w:color="auto"/>
              <w:right w:val="single" w:sz="4" w:space="0" w:color="auto"/>
            </w:tcBorders>
            <w:vAlign w:val="bottom"/>
          </w:tcPr>
          <w:p w14:paraId="1804931D" w14:textId="77777777" w:rsidR="00E859A8" w:rsidRDefault="00D94EFD">
            <w:pPr>
              <w:widowControl/>
              <w:jc w:val="left"/>
              <w:rPr>
                <w:rFonts w:ascii="宋体" w:hAnsi="宋体" w:cs="宋体"/>
                <w:color w:val="000000"/>
                <w:kern w:val="0"/>
                <w:sz w:val="18"/>
                <w:szCs w:val="18"/>
              </w:rPr>
            </w:pPr>
            <w:r>
              <w:rPr>
                <w:rFonts w:ascii="宋体" w:hAnsi="宋体" w:cs="宋体" w:hint="eastAsia"/>
                <w:color w:val="000000"/>
                <w:kern w:val="0"/>
                <w:sz w:val="18"/>
                <w:szCs w:val="18"/>
              </w:rPr>
              <w:t>存款类</w:t>
            </w:r>
          </w:p>
        </w:tc>
        <w:tc>
          <w:tcPr>
            <w:tcW w:w="1703" w:type="dxa"/>
            <w:vMerge w:val="restart"/>
            <w:tcBorders>
              <w:top w:val="nil"/>
              <w:left w:val="single" w:sz="4" w:space="0" w:color="auto"/>
              <w:bottom w:val="single" w:sz="4" w:space="0" w:color="auto"/>
              <w:right w:val="single" w:sz="4" w:space="0" w:color="auto"/>
            </w:tcBorders>
            <w:vAlign w:val="center"/>
          </w:tcPr>
          <w:p w14:paraId="028C7F27" w14:textId="77777777" w:rsidR="00E859A8" w:rsidRDefault="00D94EFD">
            <w:pPr>
              <w:widowControl/>
              <w:jc w:val="center"/>
              <w:rPr>
                <w:rFonts w:ascii="宋体" w:hAnsi="宋体" w:cs="宋体"/>
                <w:color w:val="000000"/>
                <w:kern w:val="0"/>
                <w:sz w:val="18"/>
                <w:szCs w:val="18"/>
              </w:rPr>
            </w:pPr>
            <w:r>
              <w:rPr>
                <w:rFonts w:ascii="宋体" w:hAnsi="宋体" w:cs="宋体" w:hint="eastAsia"/>
                <w:color w:val="000000"/>
                <w:kern w:val="0"/>
                <w:sz w:val="18"/>
                <w:szCs w:val="18"/>
              </w:rPr>
              <w:t>80-100%</w:t>
            </w:r>
          </w:p>
        </w:tc>
      </w:tr>
      <w:tr w:rsidR="00E859A8" w14:paraId="5C09F60F" w14:textId="77777777">
        <w:trPr>
          <w:trHeight w:val="270"/>
          <w:jc w:val="center"/>
        </w:trPr>
        <w:tc>
          <w:tcPr>
            <w:tcW w:w="2259" w:type="dxa"/>
            <w:vMerge/>
            <w:tcBorders>
              <w:top w:val="nil"/>
              <w:left w:val="single" w:sz="4" w:space="0" w:color="auto"/>
              <w:bottom w:val="single" w:sz="4" w:space="0" w:color="000000"/>
              <w:right w:val="single" w:sz="4" w:space="0" w:color="auto"/>
            </w:tcBorders>
            <w:vAlign w:val="center"/>
          </w:tcPr>
          <w:p w14:paraId="2DD01385" w14:textId="77777777" w:rsidR="00E859A8" w:rsidRDefault="00E859A8">
            <w:pPr>
              <w:widowControl/>
              <w:jc w:val="left"/>
              <w:rPr>
                <w:rFonts w:ascii="宋体" w:hAnsi="宋体" w:cs="宋体"/>
                <w:color w:val="000000"/>
                <w:kern w:val="0"/>
                <w:sz w:val="18"/>
                <w:szCs w:val="18"/>
              </w:rPr>
            </w:pPr>
          </w:p>
        </w:tc>
        <w:tc>
          <w:tcPr>
            <w:tcW w:w="5438" w:type="dxa"/>
            <w:tcBorders>
              <w:top w:val="nil"/>
              <w:left w:val="nil"/>
              <w:bottom w:val="single" w:sz="4" w:space="0" w:color="auto"/>
              <w:right w:val="single" w:sz="4" w:space="0" w:color="auto"/>
            </w:tcBorders>
            <w:vAlign w:val="bottom"/>
          </w:tcPr>
          <w:p w14:paraId="2289AA83" w14:textId="77777777" w:rsidR="00E859A8" w:rsidRDefault="00D94EFD">
            <w:pPr>
              <w:widowControl/>
              <w:jc w:val="left"/>
              <w:rPr>
                <w:rFonts w:ascii="宋体" w:hAnsi="宋体" w:cs="宋体"/>
                <w:color w:val="000000"/>
                <w:kern w:val="0"/>
                <w:sz w:val="18"/>
                <w:szCs w:val="18"/>
              </w:rPr>
            </w:pPr>
            <w:r>
              <w:rPr>
                <w:rFonts w:ascii="宋体" w:hAnsi="宋体" w:cs="宋体" w:hint="eastAsia"/>
                <w:color w:val="000000"/>
                <w:kern w:val="0"/>
                <w:sz w:val="18"/>
                <w:szCs w:val="18"/>
              </w:rPr>
              <w:t>债券回购、货币市场工具类</w:t>
            </w:r>
          </w:p>
        </w:tc>
        <w:tc>
          <w:tcPr>
            <w:tcW w:w="1703" w:type="dxa"/>
            <w:vMerge/>
            <w:tcBorders>
              <w:top w:val="nil"/>
              <w:left w:val="single" w:sz="4" w:space="0" w:color="auto"/>
              <w:bottom w:val="single" w:sz="4" w:space="0" w:color="auto"/>
              <w:right w:val="single" w:sz="4" w:space="0" w:color="auto"/>
            </w:tcBorders>
            <w:vAlign w:val="center"/>
          </w:tcPr>
          <w:p w14:paraId="165F2B39" w14:textId="77777777" w:rsidR="00E859A8" w:rsidRDefault="00E859A8">
            <w:pPr>
              <w:widowControl/>
              <w:jc w:val="left"/>
              <w:rPr>
                <w:rFonts w:ascii="宋体" w:hAnsi="宋体" w:cs="宋体"/>
                <w:color w:val="000000"/>
                <w:kern w:val="0"/>
                <w:sz w:val="18"/>
                <w:szCs w:val="18"/>
              </w:rPr>
            </w:pPr>
          </w:p>
        </w:tc>
      </w:tr>
      <w:tr w:rsidR="00E859A8" w14:paraId="7A571992" w14:textId="77777777">
        <w:trPr>
          <w:trHeight w:val="270"/>
          <w:jc w:val="center"/>
        </w:trPr>
        <w:tc>
          <w:tcPr>
            <w:tcW w:w="2259" w:type="dxa"/>
            <w:vMerge/>
            <w:tcBorders>
              <w:top w:val="nil"/>
              <w:left w:val="single" w:sz="4" w:space="0" w:color="auto"/>
              <w:bottom w:val="single" w:sz="4" w:space="0" w:color="000000"/>
              <w:right w:val="single" w:sz="4" w:space="0" w:color="auto"/>
            </w:tcBorders>
            <w:vAlign w:val="center"/>
          </w:tcPr>
          <w:p w14:paraId="05317AD0" w14:textId="77777777" w:rsidR="00E859A8" w:rsidRDefault="00E859A8">
            <w:pPr>
              <w:widowControl/>
              <w:jc w:val="left"/>
              <w:rPr>
                <w:rFonts w:ascii="宋体" w:hAnsi="宋体" w:cs="宋体"/>
                <w:color w:val="000000"/>
                <w:kern w:val="0"/>
                <w:sz w:val="18"/>
                <w:szCs w:val="18"/>
              </w:rPr>
            </w:pPr>
          </w:p>
        </w:tc>
        <w:tc>
          <w:tcPr>
            <w:tcW w:w="5438" w:type="dxa"/>
            <w:tcBorders>
              <w:top w:val="nil"/>
              <w:left w:val="nil"/>
              <w:bottom w:val="single" w:sz="4" w:space="0" w:color="auto"/>
              <w:right w:val="single" w:sz="4" w:space="0" w:color="auto"/>
            </w:tcBorders>
            <w:vAlign w:val="bottom"/>
          </w:tcPr>
          <w:p w14:paraId="56413D7A" w14:textId="77777777" w:rsidR="00E859A8" w:rsidRDefault="00D94EFD">
            <w:pPr>
              <w:widowControl/>
              <w:jc w:val="left"/>
              <w:rPr>
                <w:rFonts w:ascii="宋体" w:hAnsi="宋体" w:cs="宋体"/>
                <w:color w:val="000000"/>
                <w:kern w:val="0"/>
                <w:sz w:val="18"/>
                <w:szCs w:val="18"/>
              </w:rPr>
            </w:pPr>
            <w:r>
              <w:rPr>
                <w:rFonts w:ascii="宋体" w:hAnsi="宋体" w:cs="宋体" w:hint="eastAsia"/>
                <w:color w:val="000000"/>
                <w:kern w:val="0"/>
                <w:sz w:val="18"/>
                <w:szCs w:val="18"/>
              </w:rPr>
              <w:t>其他符合监管要求的债权类资产</w:t>
            </w:r>
          </w:p>
        </w:tc>
        <w:tc>
          <w:tcPr>
            <w:tcW w:w="1703" w:type="dxa"/>
            <w:vMerge/>
            <w:tcBorders>
              <w:top w:val="nil"/>
              <w:left w:val="single" w:sz="4" w:space="0" w:color="auto"/>
              <w:bottom w:val="single" w:sz="4" w:space="0" w:color="auto"/>
              <w:right w:val="single" w:sz="4" w:space="0" w:color="auto"/>
            </w:tcBorders>
            <w:vAlign w:val="center"/>
          </w:tcPr>
          <w:p w14:paraId="1FE048D7" w14:textId="77777777" w:rsidR="00E859A8" w:rsidRDefault="00E859A8">
            <w:pPr>
              <w:widowControl/>
              <w:jc w:val="left"/>
              <w:rPr>
                <w:rFonts w:ascii="宋体" w:hAnsi="宋体" w:cs="宋体"/>
                <w:color w:val="000000"/>
                <w:kern w:val="0"/>
                <w:sz w:val="18"/>
                <w:szCs w:val="18"/>
              </w:rPr>
            </w:pPr>
          </w:p>
        </w:tc>
      </w:tr>
      <w:tr w:rsidR="00E859A8" w14:paraId="2E3F3F84" w14:textId="77777777">
        <w:trPr>
          <w:trHeight w:val="270"/>
          <w:jc w:val="center"/>
        </w:trPr>
        <w:tc>
          <w:tcPr>
            <w:tcW w:w="2259" w:type="dxa"/>
            <w:tcBorders>
              <w:top w:val="nil"/>
              <w:left w:val="single" w:sz="4" w:space="0" w:color="auto"/>
              <w:bottom w:val="single" w:sz="4" w:space="0" w:color="auto"/>
              <w:right w:val="single" w:sz="4" w:space="0" w:color="auto"/>
            </w:tcBorders>
            <w:vAlign w:val="bottom"/>
          </w:tcPr>
          <w:p w14:paraId="7A7D0274" w14:textId="77777777" w:rsidR="00E859A8" w:rsidRDefault="00D94EFD">
            <w:pPr>
              <w:widowControl/>
              <w:jc w:val="left"/>
              <w:rPr>
                <w:rFonts w:ascii="宋体" w:hAnsi="宋体" w:cs="宋体"/>
                <w:color w:val="000000"/>
                <w:kern w:val="0"/>
                <w:sz w:val="18"/>
                <w:szCs w:val="18"/>
              </w:rPr>
            </w:pPr>
            <w:r>
              <w:rPr>
                <w:rFonts w:ascii="宋体" w:hAnsi="宋体" w:cs="宋体" w:hint="eastAsia"/>
                <w:color w:val="000000"/>
                <w:kern w:val="0"/>
                <w:sz w:val="18"/>
                <w:szCs w:val="18"/>
              </w:rPr>
              <w:t>权益类资产</w:t>
            </w:r>
          </w:p>
        </w:tc>
        <w:tc>
          <w:tcPr>
            <w:tcW w:w="5438" w:type="dxa"/>
            <w:tcBorders>
              <w:top w:val="nil"/>
              <w:left w:val="nil"/>
              <w:bottom w:val="single" w:sz="4" w:space="0" w:color="auto"/>
              <w:right w:val="single" w:sz="4" w:space="0" w:color="auto"/>
            </w:tcBorders>
            <w:vAlign w:val="bottom"/>
          </w:tcPr>
          <w:p w14:paraId="28D40544" w14:textId="77777777" w:rsidR="00E859A8" w:rsidRDefault="00D94EFD">
            <w:pPr>
              <w:widowControl/>
              <w:jc w:val="left"/>
              <w:rPr>
                <w:rFonts w:ascii="宋体" w:hAnsi="宋体" w:cs="宋体"/>
                <w:color w:val="000000"/>
                <w:kern w:val="0"/>
                <w:sz w:val="18"/>
                <w:szCs w:val="18"/>
              </w:rPr>
            </w:pPr>
            <w:r>
              <w:rPr>
                <w:rFonts w:ascii="宋体" w:hAnsi="宋体" w:cs="宋体" w:hint="eastAsia"/>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sz="4" w:space="0" w:color="auto"/>
              <w:right w:val="single" w:sz="4" w:space="0" w:color="auto"/>
            </w:tcBorders>
            <w:vAlign w:val="center"/>
          </w:tcPr>
          <w:p w14:paraId="68DAD58C" w14:textId="77777777" w:rsidR="00E859A8" w:rsidRDefault="00D94EFD">
            <w:pPr>
              <w:widowControl/>
              <w:jc w:val="center"/>
              <w:rPr>
                <w:rFonts w:ascii="宋体" w:hAnsi="宋体" w:cs="宋体"/>
                <w:color w:val="000000"/>
                <w:kern w:val="0"/>
                <w:sz w:val="18"/>
                <w:szCs w:val="18"/>
              </w:rPr>
            </w:pPr>
            <w:r>
              <w:rPr>
                <w:rFonts w:ascii="宋体" w:hAnsi="宋体" w:cs="宋体" w:hint="eastAsia"/>
                <w:color w:val="000000"/>
                <w:kern w:val="0"/>
                <w:sz w:val="18"/>
                <w:szCs w:val="18"/>
              </w:rPr>
              <w:t>0-20%</w:t>
            </w:r>
          </w:p>
        </w:tc>
      </w:tr>
    </w:tbl>
    <w:p w14:paraId="4B7474C2" w14:textId="77777777" w:rsidR="00E859A8" w:rsidRDefault="00D94EFD">
      <w:pPr>
        <w:adjustRightInd w:val="0"/>
        <w:snapToGrid w:val="0"/>
        <w:spacing w:line="286" w:lineRule="auto"/>
        <w:rPr>
          <w:sz w:val="18"/>
          <w:szCs w:val="18"/>
        </w:rPr>
      </w:pPr>
      <w:r>
        <w:rPr>
          <w:rFonts w:hint="eastAsia"/>
          <w:sz w:val="18"/>
          <w:szCs w:val="18"/>
        </w:rPr>
        <w:t>本理财产品的杠杆水平不超过</w:t>
      </w:r>
      <w:r>
        <w:rPr>
          <w:rFonts w:hint="eastAsia"/>
          <w:sz w:val="18"/>
          <w:szCs w:val="18"/>
        </w:rPr>
        <w:t>140%</w:t>
      </w:r>
      <w:r>
        <w:rPr>
          <w:rFonts w:hint="eastAsia"/>
          <w:sz w:val="18"/>
          <w:szCs w:val="18"/>
        </w:rPr>
        <w:t>。</w:t>
      </w:r>
    </w:p>
    <w:p w14:paraId="4DB00D18" w14:textId="77777777" w:rsidR="00E859A8" w:rsidRDefault="00D94EFD">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w:t>
      </w:r>
      <w:r>
        <w:rPr>
          <w:rFonts w:hint="eastAsia"/>
          <w:sz w:val="18"/>
          <w:szCs w:val="18"/>
        </w:rPr>
        <w:t>15</w:t>
      </w:r>
      <w:r>
        <w:rPr>
          <w:rFonts w:hint="eastAsia"/>
          <w:sz w:val="18"/>
          <w:szCs w:val="18"/>
        </w:rPr>
        <w:t>个交易日内调整至上述比例范围，国务院银行业监督管理机构规定的特殊情形除外。</w:t>
      </w:r>
    </w:p>
    <w:p w14:paraId="75F32AA8" w14:textId="77777777" w:rsidR="00E859A8" w:rsidRDefault="00D94EFD">
      <w:pPr>
        <w:adjustRightInd w:val="0"/>
        <w:snapToGrid w:val="0"/>
        <w:spacing w:line="286" w:lineRule="auto"/>
        <w:rPr>
          <w:sz w:val="18"/>
          <w:szCs w:val="18"/>
        </w:rPr>
      </w:pPr>
      <w:r>
        <w:rPr>
          <w:rFonts w:hint="eastAsia"/>
          <w:sz w:val="18"/>
          <w:szCs w:val="18"/>
        </w:rPr>
        <w:t>3</w:t>
      </w:r>
      <w:r>
        <w:rPr>
          <w:rFonts w:hint="eastAsia"/>
          <w:sz w:val="18"/>
          <w:szCs w:val="18"/>
        </w:rPr>
        <w:t>、投资策略</w:t>
      </w:r>
    </w:p>
    <w:p w14:paraId="0CB8602D" w14:textId="77777777" w:rsidR="00E859A8" w:rsidRDefault="00D94EFD">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184E5C9E" w14:textId="77777777" w:rsidR="00E859A8" w:rsidRDefault="00D94EFD">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1143CAB4" w14:textId="77777777" w:rsidR="00E859A8" w:rsidRDefault="00D94EFD">
      <w:pPr>
        <w:adjustRightInd w:val="0"/>
        <w:snapToGrid w:val="0"/>
        <w:spacing w:line="281" w:lineRule="auto"/>
        <w:rPr>
          <w:bCs/>
          <w:sz w:val="18"/>
          <w:szCs w:val="18"/>
        </w:rPr>
      </w:pPr>
      <w:r>
        <w:rPr>
          <w:rFonts w:hint="eastAsia"/>
          <w:bCs/>
          <w:sz w:val="18"/>
          <w:szCs w:val="18"/>
        </w:rPr>
        <w:t>（</w:t>
      </w:r>
      <w:r>
        <w:rPr>
          <w:rFonts w:hint="eastAsia"/>
          <w:bCs/>
          <w:sz w:val="18"/>
          <w:szCs w:val="18"/>
        </w:rPr>
        <w:t>1</w:t>
      </w:r>
      <w:r>
        <w:rPr>
          <w:rFonts w:hint="eastAsia"/>
          <w:bCs/>
          <w:sz w:val="18"/>
          <w:szCs w:val="18"/>
        </w:rPr>
        <w:t>）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w:t>
      </w:r>
      <w:r>
        <w:rPr>
          <w:rFonts w:hint="eastAsia"/>
          <w:bCs/>
          <w:sz w:val="18"/>
          <w:szCs w:val="18"/>
        </w:rPr>
        <w:t>能会难以以合理价格变现，同时市场资金面紧张也可能降低市场参与者的交易意愿，进而带来流动性风险。</w:t>
      </w:r>
    </w:p>
    <w:p w14:paraId="70C422CB" w14:textId="77777777" w:rsidR="00E859A8" w:rsidRDefault="00D94EFD">
      <w:pPr>
        <w:adjustRightInd w:val="0"/>
        <w:snapToGrid w:val="0"/>
        <w:spacing w:line="281" w:lineRule="auto"/>
        <w:rPr>
          <w:bCs/>
          <w:sz w:val="18"/>
          <w:szCs w:val="18"/>
        </w:rPr>
      </w:pPr>
      <w:r>
        <w:rPr>
          <w:rFonts w:hint="eastAsia"/>
          <w:bCs/>
          <w:sz w:val="18"/>
          <w:szCs w:val="18"/>
        </w:rPr>
        <w:t>（</w:t>
      </w:r>
      <w:r>
        <w:rPr>
          <w:rFonts w:hint="eastAsia"/>
          <w:bCs/>
          <w:sz w:val="18"/>
          <w:szCs w:val="18"/>
        </w:rPr>
        <w:t>2</w:t>
      </w:r>
      <w:r>
        <w:rPr>
          <w:rFonts w:hint="eastAsia"/>
          <w:bCs/>
          <w:sz w:val="18"/>
          <w:szCs w:val="18"/>
        </w:rPr>
        <w:t>）投资于非标准化固定收益类资产的可能流动性风险（如有）：非标准化固定收益类资产项下的基础资产现金流未能及时完整取得而产生信用风险，从而无法如期兑付进一步引发流动性风险。</w:t>
      </w:r>
    </w:p>
    <w:p w14:paraId="2F77C9EC" w14:textId="77777777" w:rsidR="00E859A8" w:rsidRDefault="00D94EFD">
      <w:pPr>
        <w:adjustRightInd w:val="0"/>
        <w:snapToGrid w:val="0"/>
        <w:spacing w:line="281" w:lineRule="auto"/>
        <w:rPr>
          <w:bCs/>
          <w:sz w:val="18"/>
          <w:szCs w:val="18"/>
        </w:rPr>
      </w:pPr>
      <w:r>
        <w:rPr>
          <w:rFonts w:hint="eastAsia"/>
          <w:bCs/>
          <w:sz w:val="18"/>
          <w:szCs w:val="18"/>
        </w:rPr>
        <w:t>（</w:t>
      </w:r>
      <w:r>
        <w:rPr>
          <w:rFonts w:hint="eastAsia"/>
          <w:bCs/>
          <w:sz w:val="18"/>
          <w:szCs w:val="18"/>
        </w:rPr>
        <w:t>3</w:t>
      </w:r>
      <w:r>
        <w:rPr>
          <w:rFonts w:hint="eastAsia"/>
          <w:bCs/>
          <w:sz w:val="18"/>
          <w:szCs w:val="18"/>
        </w:rPr>
        <w:t>）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w:t>
      </w:r>
      <w:r>
        <w:rPr>
          <w:rFonts w:hint="eastAsia"/>
          <w:bCs/>
          <w:sz w:val="18"/>
          <w:szCs w:val="18"/>
        </w:rPr>
        <w:t>愿降低、停牌、退市等情形，从而进一步引发流动性风险。</w:t>
      </w:r>
    </w:p>
    <w:p w14:paraId="218A2619" w14:textId="77777777" w:rsidR="00E859A8" w:rsidRDefault="00D94EFD">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4BE44BDF" w14:textId="77777777" w:rsidR="00E859A8" w:rsidRDefault="00D94EFD">
      <w:pPr>
        <w:adjustRightInd w:val="0"/>
        <w:snapToGrid w:val="0"/>
        <w:spacing w:line="281" w:lineRule="auto"/>
        <w:rPr>
          <w:b/>
          <w:sz w:val="18"/>
          <w:szCs w:val="18"/>
        </w:rPr>
      </w:pPr>
      <w:r>
        <w:rPr>
          <w:rFonts w:hint="eastAsia"/>
          <w:b/>
          <w:sz w:val="18"/>
          <w:szCs w:val="18"/>
        </w:rPr>
        <w:t>产品销售</w:t>
      </w:r>
    </w:p>
    <w:p w14:paraId="103F8C19" w14:textId="77777777" w:rsidR="00E859A8" w:rsidRDefault="00D94EFD">
      <w:pPr>
        <w:adjustRightInd w:val="0"/>
        <w:snapToGrid w:val="0"/>
        <w:spacing w:line="281" w:lineRule="auto"/>
        <w:rPr>
          <w:sz w:val="18"/>
          <w:szCs w:val="18"/>
        </w:rPr>
      </w:pPr>
      <w:r>
        <w:rPr>
          <w:rFonts w:hint="eastAsia"/>
          <w:sz w:val="18"/>
          <w:szCs w:val="18"/>
        </w:rPr>
        <w:t>销售地区范围包括浙江省、上海地区等。</w:t>
      </w:r>
    </w:p>
    <w:p w14:paraId="70EE45A3" w14:textId="77777777" w:rsidR="00E859A8" w:rsidRDefault="00D94EFD">
      <w:pPr>
        <w:adjustRightInd w:val="0"/>
        <w:snapToGrid w:val="0"/>
        <w:spacing w:line="286" w:lineRule="auto"/>
        <w:rPr>
          <w:b/>
          <w:bCs/>
          <w:sz w:val="18"/>
          <w:szCs w:val="18"/>
        </w:rPr>
      </w:pPr>
      <w:r>
        <w:rPr>
          <w:rFonts w:hint="eastAsia"/>
          <w:b/>
          <w:bCs/>
          <w:sz w:val="18"/>
          <w:szCs w:val="18"/>
        </w:rPr>
        <w:t>投资管理人</w:t>
      </w:r>
    </w:p>
    <w:p w14:paraId="7FF28502" w14:textId="77777777" w:rsidR="00E859A8" w:rsidRDefault="00D94EFD">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w:t>
      </w:r>
      <w:r>
        <w:rPr>
          <w:rFonts w:hint="eastAsia"/>
          <w:sz w:val="18"/>
          <w:szCs w:val="18"/>
        </w:rPr>
        <w:t>律法规相关规定以及为理财计划利益行使因本产品投资所产生的相关权利（包括但不限于投票表决权、追索权利等）。</w:t>
      </w:r>
    </w:p>
    <w:p w14:paraId="15E5953D" w14:textId="77777777" w:rsidR="00E859A8" w:rsidRDefault="00D94EFD">
      <w:pPr>
        <w:adjustRightInd w:val="0"/>
        <w:snapToGrid w:val="0"/>
        <w:spacing w:line="286" w:lineRule="auto"/>
        <w:rPr>
          <w:b/>
          <w:bCs/>
          <w:sz w:val="18"/>
          <w:szCs w:val="18"/>
        </w:rPr>
      </w:pPr>
      <w:r>
        <w:rPr>
          <w:rFonts w:hint="eastAsia"/>
          <w:b/>
          <w:bCs/>
          <w:sz w:val="18"/>
          <w:szCs w:val="18"/>
        </w:rPr>
        <w:t>产品托管人</w:t>
      </w:r>
    </w:p>
    <w:p w14:paraId="239B1436" w14:textId="77777777" w:rsidR="00E859A8" w:rsidRDefault="00D94EFD">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0F63274C" w14:textId="77777777" w:rsidR="00E859A8" w:rsidRDefault="00D94EFD">
      <w:pPr>
        <w:adjustRightInd w:val="0"/>
        <w:snapToGrid w:val="0"/>
        <w:spacing w:line="286" w:lineRule="auto"/>
        <w:rPr>
          <w:b/>
          <w:bCs/>
          <w:sz w:val="18"/>
          <w:szCs w:val="18"/>
        </w:rPr>
      </w:pPr>
      <w:r>
        <w:rPr>
          <w:rFonts w:hint="eastAsia"/>
          <w:b/>
          <w:bCs/>
          <w:sz w:val="18"/>
          <w:szCs w:val="18"/>
        </w:rPr>
        <w:t>投资合作机构</w:t>
      </w:r>
    </w:p>
    <w:p w14:paraId="69E7539E" w14:textId="77777777" w:rsidR="00E859A8" w:rsidRDefault="00D94EFD">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hint="eastAsia"/>
          <w:sz w:val="18"/>
          <w:szCs w:val="18"/>
        </w:rPr>
        <w:t>www.wzbank.cn</w:t>
      </w:r>
      <w:r>
        <w:rPr>
          <w:rFonts w:hint="eastAsia"/>
          <w:sz w:val="18"/>
          <w:szCs w:val="18"/>
        </w:rPr>
        <w:t>）查询温州银行理财产品的投资合作机构名单。</w:t>
      </w:r>
    </w:p>
    <w:p w14:paraId="6A7FB966" w14:textId="77777777" w:rsidR="00E859A8" w:rsidRDefault="00D94EFD">
      <w:pPr>
        <w:adjustRightInd w:val="0"/>
        <w:snapToGrid w:val="0"/>
        <w:spacing w:line="286" w:lineRule="auto"/>
        <w:rPr>
          <w:b/>
          <w:bCs/>
          <w:sz w:val="18"/>
          <w:szCs w:val="18"/>
        </w:rPr>
      </w:pPr>
      <w:r>
        <w:rPr>
          <w:rFonts w:hint="eastAsia"/>
          <w:b/>
          <w:bCs/>
          <w:sz w:val="18"/>
          <w:szCs w:val="18"/>
        </w:rPr>
        <w:t>理财产品估值</w:t>
      </w:r>
    </w:p>
    <w:p w14:paraId="40F87890" w14:textId="77777777" w:rsidR="00E859A8" w:rsidRDefault="00D94EFD">
      <w:pPr>
        <w:adjustRightInd w:val="0"/>
        <w:snapToGrid w:val="0"/>
        <w:spacing w:line="286" w:lineRule="auto"/>
        <w:rPr>
          <w:sz w:val="18"/>
          <w:szCs w:val="18"/>
        </w:rPr>
      </w:pPr>
      <w:r>
        <w:rPr>
          <w:rFonts w:hint="eastAsia"/>
          <w:sz w:val="18"/>
          <w:szCs w:val="18"/>
        </w:rPr>
        <w:t>【估值日】</w:t>
      </w:r>
      <w:r>
        <w:rPr>
          <w:rFonts w:hint="eastAsia"/>
          <w:sz w:val="18"/>
          <w:szCs w:val="18"/>
        </w:rPr>
        <w:t xml:space="preserve"> </w:t>
      </w:r>
    </w:p>
    <w:p w14:paraId="1736057B" w14:textId="77777777" w:rsidR="00E859A8" w:rsidRDefault="00D94EFD">
      <w:pPr>
        <w:adjustRightInd w:val="0"/>
        <w:snapToGrid w:val="0"/>
        <w:spacing w:line="286" w:lineRule="auto"/>
        <w:rPr>
          <w:sz w:val="18"/>
          <w:szCs w:val="18"/>
        </w:rPr>
      </w:pPr>
      <w:r>
        <w:rPr>
          <w:rFonts w:hint="eastAsia"/>
          <w:sz w:val="18"/>
          <w:szCs w:val="18"/>
        </w:rPr>
        <w:t>本理财产品估值日为每个证券交易所的交易日，每周投资管理人和理财托管人核对估值结果，每个开放周期结束后</w:t>
      </w:r>
      <w:r>
        <w:rPr>
          <w:rFonts w:hint="eastAsia"/>
          <w:sz w:val="18"/>
          <w:szCs w:val="18"/>
        </w:rPr>
        <w:t>2</w:t>
      </w:r>
      <w:r>
        <w:rPr>
          <w:rFonts w:hint="eastAsia"/>
          <w:sz w:val="18"/>
          <w:szCs w:val="18"/>
        </w:rPr>
        <w:t>日内，披露本理财产品在开放周期清算日的估值。（如遇非工作日顺延至下一工作日，具体日期以温州银行公告为准）。</w:t>
      </w:r>
      <w:r>
        <w:rPr>
          <w:rFonts w:hint="eastAsia"/>
          <w:sz w:val="18"/>
          <w:szCs w:val="18"/>
        </w:rPr>
        <w:t xml:space="preserve"> </w:t>
      </w:r>
    </w:p>
    <w:p w14:paraId="0E7CF902" w14:textId="77777777" w:rsidR="00E859A8" w:rsidRDefault="00D94EFD">
      <w:pPr>
        <w:adjustRightInd w:val="0"/>
        <w:snapToGrid w:val="0"/>
        <w:spacing w:line="286" w:lineRule="auto"/>
        <w:rPr>
          <w:sz w:val="18"/>
          <w:szCs w:val="18"/>
        </w:rPr>
      </w:pPr>
      <w:r>
        <w:rPr>
          <w:rFonts w:hint="eastAsia"/>
          <w:sz w:val="18"/>
          <w:szCs w:val="18"/>
        </w:rPr>
        <w:t>【估值对象】</w:t>
      </w:r>
    </w:p>
    <w:p w14:paraId="6B69737A" w14:textId="77777777" w:rsidR="00E859A8" w:rsidRDefault="00D94EFD">
      <w:pPr>
        <w:adjustRightInd w:val="0"/>
        <w:snapToGrid w:val="0"/>
        <w:spacing w:line="286" w:lineRule="auto"/>
        <w:rPr>
          <w:sz w:val="18"/>
          <w:szCs w:val="18"/>
        </w:rPr>
      </w:pPr>
      <w:r>
        <w:rPr>
          <w:rFonts w:hint="eastAsia"/>
          <w:sz w:val="18"/>
          <w:szCs w:val="18"/>
        </w:rPr>
        <w:t xml:space="preserve"> </w:t>
      </w:r>
      <w:r>
        <w:rPr>
          <w:rFonts w:hint="eastAsia"/>
          <w:sz w:val="18"/>
          <w:szCs w:val="18"/>
        </w:rPr>
        <w:t>本理财产品所</w:t>
      </w:r>
      <w:r>
        <w:rPr>
          <w:rFonts w:hint="eastAsia"/>
          <w:sz w:val="18"/>
          <w:szCs w:val="18"/>
        </w:rPr>
        <w:t>拥有的投资资产。</w:t>
      </w:r>
    </w:p>
    <w:p w14:paraId="47800089" w14:textId="77777777" w:rsidR="00E859A8" w:rsidRDefault="00D94EFD">
      <w:pPr>
        <w:adjustRightInd w:val="0"/>
        <w:snapToGrid w:val="0"/>
        <w:spacing w:line="286" w:lineRule="auto"/>
        <w:rPr>
          <w:sz w:val="18"/>
          <w:szCs w:val="18"/>
        </w:rPr>
      </w:pPr>
      <w:r>
        <w:rPr>
          <w:rFonts w:hint="eastAsia"/>
          <w:sz w:val="18"/>
          <w:szCs w:val="18"/>
        </w:rPr>
        <w:t>【估值目的】</w:t>
      </w:r>
      <w:r>
        <w:rPr>
          <w:rFonts w:hint="eastAsia"/>
          <w:sz w:val="18"/>
          <w:szCs w:val="18"/>
        </w:rPr>
        <w:t xml:space="preserve"> </w:t>
      </w:r>
    </w:p>
    <w:p w14:paraId="14A1734B" w14:textId="77777777" w:rsidR="00E859A8" w:rsidRDefault="00D94EFD">
      <w:pPr>
        <w:adjustRightInd w:val="0"/>
        <w:snapToGrid w:val="0"/>
        <w:spacing w:line="286" w:lineRule="auto"/>
        <w:rPr>
          <w:sz w:val="18"/>
          <w:szCs w:val="18"/>
        </w:rPr>
      </w:pPr>
      <w:r>
        <w:rPr>
          <w:rFonts w:hint="eastAsia"/>
          <w:sz w:val="18"/>
          <w:szCs w:val="18"/>
        </w:rPr>
        <w:lastRenderedPageBreak/>
        <w:t>客观、准确反映理财产品的价值。</w:t>
      </w:r>
      <w:r>
        <w:rPr>
          <w:rFonts w:hint="eastAsia"/>
          <w:sz w:val="18"/>
          <w:szCs w:val="18"/>
        </w:rPr>
        <w:t xml:space="preserve"> </w:t>
      </w:r>
    </w:p>
    <w:p w14:paraId="10D0D0D3" w14:textId="77777777" w:rsidR="00E859A8" w:rsidRDefault="00D94EFD">
      <w:pPr>
        <w:adjustRightInd w:val="0"/>
        <w:snapToGrid w:val="0"/>
        <w:spacing w:line="286" w:lineRule="auto"/>
        <w:rPr>
          <w:sz w:val="18"/>
          <w:szCs w:val="18"/>
        </w:rPr>
      </w:pPr>
      <w:r>
        <w:rPr>
          <w:rFonts w:hint="eastAsia"/>
          <w:sz w:val="18"/>
          <w:szCs w:val="18"/>
        </w:rPr>
        <w:t>【估值方法】</w:t>
      </w:r>
      <w:r>
        <w:rPr>
          <w:rFonts w:hint="eastAsia"/>
          <w:sz w:val="18"/>
          <w:szCs w:val="18"/>
        </w:rPr>
        <w:t xml:space="preserve"> </w:t>
      </w:r>
    </w:p>
    <w:p w14:paraId="35E7FA8E" w14:textId="77777777" w:rsidR="00E859A8" w:rsidRDefault="00D94EFD">
      <w:pPr>
        <w:adjustRightInd w:val="0"/>
        <w:snapToGrid w:val="0"/>
        <w:spacing w:line="286" w:lineRule="auto"/>
        <w:rPr>
          <w:sz w:val="18"/>
          <w:szCs w:val="18"/>
        </w:rPr>
      </w:pPr>
      <w:r>
        <w:rPr>
          <w:rFonts w:hint="eastAsia"/>
          <w:sz w:val="18"/>
          <w:szCs w:val="18"/>
        </w:rPr>
        <w:t>1</w:t>
      </w:r>
      <w:r>
        <w:rPr>
          <w:rFonts w:hint="eastAsia"/>
          <w:sz w:val="18"/>
          <w:szCs w:val="18"/>
        </w:rPr>
        <w:t>、货币市场工具：</w:t>
      </w:r>
    </w:p>
    <w:p w14:paraId="1F83F381"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）银行存款类资产及债券回购以本金列示、逐日计提利息。</w:t>
      </w:r>
    </w:p>
    <w:p w14:paraId="24214E24"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）货币基金：如基金管理人披露份额净值，则按所投资基金的基金管理人披露的最近估值日份额净值进行估值；如基金管理人披露万份（</w:t>
      </w:r>
      <w:r>
        <w:rPr>
          <w:rFonts w:hint="eastAsia"/>
          <w:sz w:val="18"/>
          <w:szCs w:val="18"/>
        </w:rPr>
        <w:t>/</w:t>
      </w:r>
      <w:r>
        <w:rPr>
          <w:rFonts w:hint="eastAsia"/>
          <w:sz w:val="18"/>
          <w:szCs w:val="18"/>
        </w:rPr>
        <w:t>百份）收益，则按所投资基金前一估值日后至估值日期间（含节假日）的万份（</w:t>
      </w:r>
      <w:r>
        <w:rPr>
          <w:rFonts w:hint="eastAsia"/>
          <w:sz w:val="18"/>
          <w:szCs w:val="18"/>
        </w:rPr>
        <w:t>/</w:t>
      </w:r>
      <w:r>
        <w:rPr>
          <w:rFonts w:hint="eastAsia"/>
          <w:sz w:val="18"/>
          <w:szCs w:val="18"/>
        </w:rPr>
        <w:t>百份）收益计提收益。</w:t>
      </w:r>
      <w:r>
        <w:rPr>
          <w:rFonts w:hint="eastAsia"/>
          <w:sz w:val="18"/>
          <w:szCs w:val="18"/>
        </w:rPr>
        <w:t xml:space="preserve"> </w:t>
      </w:r>
    </w:p>
    <w:p w14:paraId="2CBF9059" w14:textId="77777777" w:rsidR="00E859A8" w:rsidRDefault="00D94EFD">
      <w:pPr>
        <w:adjustRightInd w:val="0"/>
        <w:snapToGrid w:val="0"/>
        <w:spacing w:line="286" w:lineRule="auto"/>
        <w:rPr>
          <w:sz w:val="18"/>
          <w:szCs w:val="18"/>
        </w:rPr>
      </w:pPr>
      <w:r>
        <w:rPr>
          <w:rFonts w:hint="eastAsia"/>
          <w:sz w:val="18"/>
          <w:szCs w:val="18"/>
        </w:rPr>
        <w:t>2</w:t>
      </w:r>
      <w:r>
        <w:rPr>
          <w:rFonts w:hint="eastAsia"/>
          <w:sz w:val="18"/>
          <w:szCs w:val="18"/>
        </w:rPr>
        <w:t>、债券类资产：</w:t>
      </w:r>
    </w:p>
    <w:p w14:paraId="4C1174EE"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）以收取合同现金流量为目的并持有到期的债券，在符合监管规定的情况下按摊余成本</w:t>
      </w:r>
      <w:r>
        <w:rPr>
          <w:sz w:val="18"/>
          <w:szCs w:val="18"/>
        </w:rPr>
        <w:t>法</w:t>
      </w:r>
      <w:r>
        <w:rPr>
          <w:rFonts w:hint="eastAsia"/>
          <w:sz w:val="18"/>
          <w:szCs w:val="18"/>
        </w:rPr>
        <w:t>计量。</w:t>
      </w:r>
    </w:p>
    <w:p w14:paraId="54BFBD0E"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）其余债券类资产按市价法估值。市价法不能确定其公允价值的，采用估值技术进行估值。</w:t>
      </w:r>
    </w:p>
    <w:p w14:paraId="5AC49FD2" w14:textId="77777777" w:rsidR="00E859A8" w:rsidRDefault="00D94EFD">
      <w:pPr>
        <w:adjustRightInd w:val="0"/>
        <w:snapToGrid w:val="0"/>
        <w:spacing w:line="286" w:lineRule="auto"/>
        <w:rPr>
          <w:sz w:val="18"/>
          <w:szCs w:val="18"/>
        </w:rPr>
      </w:pPr>
      <w:r>
        <w:rPr>
          <w:rFonts w:hint="eastAsia"/>
          <w:sz w:val="18"/>
          <w:szCs w:val="18"/>
        </w:rPr>
        <w:t>3</w:t>
      </w:r>
      <w:r>
        <w:rPr>
          <w:rFonts w:hint="eastAsia"/>
          <w:sz w:val="18"/>
          <w:szCs w:val="18"/>
        </w:rPr>
        <w:t>、债权</w:t>
      </w:r>
      <w:r>
        <w:rPr>
          <w:sz w:val="18"/>
          <w:szCs w:val="18"/>
        </w:rPr>
        <w:t>类资产</w:t>
      </w:r>
      <w:r>
        <w:rPr>
          <w:rFonts w:hint="eastAsia"/>
          <w:sz w:val="18"/>
          <w:szCs w:val="18"/>
        </w:rPr>
        <w:t>：</w:t>
      </w:r>
    </w:p>
    <w:p w14:paraId="44341E0B"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）以收取合同现金流量为目的并持有到期的债权类资产，在符合监管规定的情况下按摊余成本法计量。</w:t>
      </w:r>
    </w:p>
    <w:p w14:paraId="1E717546"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）其余债权类资产按市价法估值。市价法不能确定其公允价值的，采用估值技术进行估值。</w:t>
      </w:r>
    </w:p>
    <w:p w14:paraId="01ACB9C7" w14:textId="77777777" w:rsidR="00E859A8" w:rsidRDefault="00D94EFD">
      <w:pPr>
        <w:adjustRightInd w:val="0"/>
        <w:snapToGrid w:val="0"/>
        <w:spacing w:line="286" w:lineRule="auto"/>
        <w:rPr>
          <w:sz w:val="18"/>
          <w:szCs w:val="18"/>
        </w:rPr>
      </w:pPr>
      <w:r>
        <w:rPr>
          <w:rFonts w:hint="eastAsia"/>
          <w:sz w:val="18"/>
          <w:szCs w:val="18"/>
        </w:rPr>
        <w:t>4</w:t>
      </w:r>
      <w:r>
        <w:rPr>
          <w:rFonts w:hint="eastAsia"/>
          <w:sz w:val="18"/>
          <w:szCs w:val="18"/>
        </w:rPr>
        <w:t>、基金、证券、保险等资产管理计划和信托计划等资产（不含货币市场基金）：</w:t>
      </w:r>
    </w:p>
    <w:p w14:paraId="5A5FB55F" w14:textId="77777777" w:rsidR="00E859A8" w:rsidRDefault="00D94EFD">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24BDF28E" w14:textId="77777777" w:rsidR="00E859A8" w:rsidRDefault="00D94EFD">
      <w:pPr>
        <w:adjustRightInd w:val="0"/>
        <w:snapToGrid w:val="0"/>
        <w:spacing w:line="286" w:lineRule="auto"/>
        <w:rPr>
          <w:sz w:val="18"/>
          <w:szCs w:val="18"/>
        </w:rPr>
      </w:pPr>
      <w:r>
        <w:rPr>
          <w:rFonts w:hint="eastAsia"/>
          <w:sz w:val="18"/>
          <w:szCs w:val="18"/>
        </w:rPr>
        <w:t>5</w:t>
      </w:r>
      <w:r>
        <w:rPr>
          <w:rFonts w:hint="eastAsia"/>
          <w:sz w:val="18"/>
          <w:szCs w:val="18"/>
        </w:rPr>
        <w:t>、其他资产：</w:t>
      </w:r>
    </w:p>
    <w:p w14:paraId="260EF16D" w14:textId="77777777" w:rsidR="00E859A8" w:rsidRDefault="00D94EFD">
      <w:pPr>
        <w:adjustRightInd w:val="0"/>
        <w:snapToGrid w:val="0"/>
        <w:spacing w:line="286" w:lineRule="auto"/>
        <w:rPr>
          <w:sz w:val="18"/>
          <w:szCs w:val="18"/>
        </w:rPr>
      </w:pPr>
      <w:r>
        <w:rPr>
          <w:rFonts w:hint="eastAsia"/>
          <w:sz w:val="18"/>
          <w:szCs w:val="18"/>
        </w:rPr>
        <w:t>其他资产存在公允价值的，按照公允价值估值，公允价值不</w:t>
      </w:r>
      <w:r>
        <w:rPr>
          <w:rFonts w:hint="eastAsia"/>
          <w:sz w:val="18"/>
          <w:szCs w:val="18"/>
        </w:rPr>
        <w:t>能确定的，经管理人和托管人合理判断后可采用其他估值技术对其进行估值。</w:t>
      </w:r>
    </w:p>
    <w:p w14:paraId="2650B326" w14:textId="77777777" w:rsidR="00E859A8" w:rsidRDefault="00D94EFD">
      <w:pPr>
        <w:adjustRightInd w:val="0"/>
        <w:snapToGrid w:val="0"/>
        <w:spacing w:line="286" w:lineRule="auto"/>
        <w:rPr>
          <w:sz w:val="18"/>
          <w:szCs w:val="18"/>
        </w:rPr>
      </w:pPr>
      <w:r>
        <w:rPr>
          <w:rFonts w:hint="eastAsia"/>
          <w:sz w:val="18"/>
          <w:szCs w:val="18"/>
        </w:rPr>
        <w:t>6</w:t>
      </w:r>
      <w:r>
        <w:rPr>
          <w:rFonts w:hint="eastAsia"/>
          <w:sz w:val="18"/>
          <w:szCs w:val="18"/>
        </w:rPr>
        <w:t>、其他事项</w:t>
      </w:r>
    </w:p>
    <w:p w14:paraId="00F57666" w14:textId="77777777" w:rsidR="00E859A8" w:rsidRDefault="00D94EFD">
      <w:pPr>
        <w:adjustRightInd w:val="0"/>
        <w:snapToGrid w:val="0"/>
        <w:spacing w:line="286" w:lineRule="auto"/>
        <w:rPr>
          <w:sz w:val="18"/>
          <w:szCs w:val="18"/>
        </w:rPr>
      </w:pPr>
      <w:r>
        <w:rPr>
          <w:rFonts w:hint="eastAsia"/>
          <w:sz w:val="18"/>
          <w:szCs w:val="18"/>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r>
        <w:rPr>
          <w:rFonts w:hint="eastAsia"/>
          <w:sz w:val="18"/>
          <w:szCs w:val="18"/>
        </w:rPr>
        <w:t xml:space="preserve"> </w:t>
      </w:r>
    </w:p>
    <w:p w14:paraId="63CBE65E" w14:textId="77777777" w:rsidR="00E859A8" w:rsidRDefault="00D94EFD">
      <w:pPr>
        <w:adjustRightInd w:val="0"/>
        <w:snapToGrid w:val="0"/>
        <w:spacing w:line="286" w:lineRule="auto"/>
        <w:rPr>
          <w:sz w:val="18"/>
          <w:szCs w:val="18"/>
        </w:rPr>
      </w:pPr>
      <w:r>
        <w:rPr>
          <w:rFonts w:hint="eastAsia"/>
          <w:sz w:val="18"/>
          <w:szCs w:val="18"/>
        </w:rPr>
        <w:t>【估值错误处理】</w:t>
      </w:r>
    </w:p>
    <w:p w14:paraId="205190A6" w14:textId="77777777" w:rsidR="00E859A8" w:rsidRDefault="00D94EFD">
      <w:pPr>
        <w:adjustRightInd w:val="0"/>
        <w:snapToGrid w:val="0"/>
        <w:spacing w:line="286" w:lineRule="auto"/>
        <w:rPr>
          <w:sz w:val="18"/>
          <w:szCs w:val="18"/>
        </w:rPr>
      </w:pPr>
      <w:r>
        <w:rPr>
          <w:rFonts w:hint="eastAsia"/>
          <w:sz w:val="18"/>
          <w:szCs w:val="18"/>
        </w:rPr>
        <w:t>当产品单位净值小数点后</w:t>
      </w:r>
      <w:r>
        <w:rPr>
          <w:rFonts w:hint="eastAsia"/>
          <w:sz w:val="18"/>
          <w:szCs w:val="18"/>
        </w:rPr>
        <w:t>4</w:t>
      </w:r>
      <w:r>
        <w:rPr>
          <w:rFonts w:hint="eastAsia"/>
          <w:sz w:val="18"/>
          <w:szCs w:val="18"/>
        </w:rPr>
        <w:t>位以内（含第</w:t>
      </w:r>
      <w:r>
        <w:rPr>
          <w:rFonts w:hint="eastAsia"/>
          <w:sz w:val="18"/>
          <w:szCs w:val="18"/>
        </w:rPr>
        <w:t>4</w:t>
      </w:r>
      <w:r>
        <w:rPr>
          <w:rFonts w:hint="eastAsia"/>
          <w:sz w:val="18"/>
          <w:szCs w:val="18"/>
        </w:rPr>
        <w:t>位）发生错误时，视为估值错误。如投资管理人或理财托管人发现资产估值违反本说明书约定的估值方法、程序及相关法律法规的规定或者未能充分维护理财投资者利益或发生估值错误</w:t>
      </w:r>
      <w:r>
        <w:rPr>
          <w:rFonts w:hint="eastAsia"/>
          <w:sz w:val="18"/>
          <w:szCs w:val="18"/>
        </w:rPr>
        <w:t>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7426EFD7" w14:textId="77777777" w:rsidR="00E859A8" w:rsidRDefault="00D94EFD">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14CC0C82" w14:textId="77777777" w:rsidR="00E859A8" w:rsidRDefault="00D94EFD">
      <w:pPr>
        <w:adjustRightInd w:val="0"/>
        <w:snapToGrid w:val="0"/>
        <w:spacing w:line="286" w:lineRule="auto"/>
        <w:rPr>
          <w:sz w:val="18"/>
          <w:szCs w:val="18"/>
        </w:rPr>
      </w:pPr>
      <w:r>
        <w:rPr>
          <w:rFonts w:hint="eastAsia"/>
          <w:sz w:val="18"/>
          <w:szCs w:val="18"/>
        </w:rPr>
        <w:t>【暂停估值】</w:t>
      </w:r>
    </w:p>
    <w:p w14:paraId="7308A560" w14:textId="77777777" w:rsidR="00E859A8" w:rsidRDefault="00D94EFD">
      <w:pPr>
        <w:adjustRightInd w:val="0"/>
        <w:snapToGrid w:val="0"/>
        <w:spacing w:line="286" w:lineRule="auto"/>
        <w:rPr>
          <w:sz w:val="18"/>
          <w:szCs w:val="18"/>
        </w:rPr>
      </w:pPr>
      <w:r>
        <w:rPr>
          <w:rFonts w:hint="eastAsia"/>
          <w:sz w:val="18"/>
          <w:szCs w:val="18"/>
        </w:rPr>
        <w:t>本理财计划可暂停估值的情形如下：</w:t>
      </w:r>
    </w:p>
    <w:p w14:paraId="2DBD3F06" w14:textId="77777777" w:rsidR="00E859A8" w:rsidRDefault="00D94EFD">
      <w:pPr>
        <w:adjustRightInd w:val="0"/>
        <w:snapToGrid w:val="0"/>
        <w:spacing w:line="286" w:lineRule="auto"/>
        <w:rPr>
          <w:sz w:val="18"/>
          <w:szCs w:val="18"/>
        </w:rPr>
      </w:pPr>
      <w:r>
        <w:rPr>
          <w:rFonts w:hint="eastAsia"/>
          <w:sz w:val="18"/>
          <w:szCs w:val="18"/>
        </w:rPr>
        <w:t>1</w:t>
      </w:r>
      <w:r>
        <w:rPr>
          <w:rFonts w:hint="eastAsia"/>
          <w:sz w:val="18"/>
          <w:szCs w:val="18"/>
        </w:rPr>
        <w:t>、理财产品投资所涉及的交易市场遇法定节假日或其他原因暂停营业时。</w:t>
      </w:r>
    </w:p>
    <w:p w14:paraId="5027996D" w14:textId="77777777" w:rsidR="00E859A8" w:rsidRDefault="00D94EFD">
      <w:pPr>
        <w:adjustRightInd w:val="0"/>
        <w:snapToGrid w:val="0"/>
        <w:spacing w:line="286" w:lineRule="auto"/>
        <w:rPr>
          <w:sz w:val="18"/>
          <w:szCs w:val="18"/>
        </w:rPr>
      </w:pPr>
      <w:r>
        <w:rPr>
          <w:rFonts w:hint="eastAsia"/>
          <w:sz w:val="18"/>
          <w:szCs w:val="18"/>
        </w:rPr>
        <w:t>2</w:t>
      </w:r>
      <w:r>
        <w:rPr>
          <w:rFonts w:hint="eastAsia"/>
          <w:sz w:val="18"/>
          <w:szCs w:val="18"/>
        </w:rPr>
        <w:t>、因任何不可抗力或其他情形致使理财计划管理人、托管人无法准确评估资产价值时。</w:t>
      </w:r>
    </w:p>
    <w:p w14:paraId="1A35D90B" w14:textId="77777777" w:rsidR="00E859A8" w:rsidRDefault="00D94EFD">
      <w:pPr>
        <w:adjustRightInd w:val="0"/>
        <w:snapToGrid w:val="0"/>
        <w:spacing w:line="286" w:lineRule="auto"/>
        <w:rPr>
          <w:sz w:val="18"/>
          <w:szCs w:val="18"/>
        </w:rPr>
      </w:pPr>
      <w:r>
        <w:rPr>
          <w:rFonts w:hint="eastAsia"/>
          <w:sz w:val="18"/>
          <w:szCs w:val="18"/>
        </w:rPr>
        <w:t>3</w:t>
      </w:r>
      <w:r>
        <w:rPr>
          <w:rFonts w:hint="eastAsia"/>
          <w:sz w:val="18"/>
          <w:szCs w:val="18"/>
        </w:rPr>
        <w:t>、当前一估值日理财计划资产净值</w:t>
      </w:r>
      <w:r>
        <w:rPr>
          <w:rFonts w:hint="eastAsia"/>
          <w:sz w:val="18"/>
          <w:szCs w:val="18"/>
        </w:rPr>
        <w:t>50%</w:t>
      </w:r>
      <w:r>
        <w:rPr>
          <w:rFonts w:hint="eastAsia"/>
          <w:sz w:val="18"/>
          <w:szCs w:val="18"/>
        </w:rPr>
        <w:t>以上的资产不具备活跃交易市场或者在活跃市场中无报价，且不能采用估值技术可靠计量公允价值时。</w:t>
      </w:r>
    </w:p>
    <w:p w14:paraId="1ED44ACC" w14:textId="77777777" w:rsidR="00E859A8" w:rsidRDefault="00D94EFD">
      <w:pPr>
        <w:adjustRightInd w:val="0"/>
        <w:snapToGrid w:val="0"/>
        <w:spacing w:line="286" w:lineRule="auto"/>
        <w:rPr>
          <w:sz w:val="18"/>
          <w:szCs w:val="18"/>
        </w:rPr>
      </w:pPr>
      <w:r>
        <w:rPr>
          <w:rFonts w:hint="eastAsia"/>
          <w:sz w:val="18"/>
          <w:szCs w:val="18"/>
        </w:rPr>
        <w:t>4</w:t>
      </w:r>
      <w:r>
        <w:rPr>
          <w:rFonts w:hint="eastAsia"/>
          <w:sz w:val="18"/>
          <w:szCs w:val="18"/>
        </w:rPr>
        <w:t>、存在监管机构认定的导致无法准确估值的其它情形，或理财计划管理人、托管人有合理理由认为将影响理财计划估值的其他情形。</w:t>
      </w:r>
    </w:p>
    <w:p w14:paraId="514638BE" w14:textId="77777777" w:rsidR="00E859A8" w:rsidRDefault="00D94EFD">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0DFBB98D" w14:textId="77777777" w:rsidR="00E859A8" w:rsidRDefault="00D94EFD">
      <w:pPr>
        <w:adjustRightInd w:val="0"/>
        <w:snapToGrid w:val="0"/>
        <w:spacing w:line="286" w:lineRule="auto"/>
        <w:rPr>
          <w:b/>
          <w:sz w:val="18"/>
          <w:szCs w:val="18"/>
        </w:rPr>
      </w:pPr>
      <w:r>
        <w:rPr>
          <w:rFonts w:hint="eastAsia"/>
          <w:b/>
          <w:sz w:val="18"/>
          <w:szCs w:val="18"/>
        </w:rPr>
        <w:t>理财收益测算及相关</w:t>
      </w:r>
      <w:r>
        <w:rPr>
          <w:rFonts w:hint="eastAsia"/>
          <w:b/>
          <w:sz w:val="18"/>
          <w:szCs w:val="18"/>
        </w:rPr>
        <w:t>费用</w:t>
      </w:r>
    </w:p>
    <w:p w14:paraId="0D0A189D" w14:textId="77777777" w:rsidR="00E859A8" w:rsidRDefault="00D94EFD">
      <w:pPr>
        <w:adjustRightInd w:val="0"/>
        <w:snapToGrid w:val="0"/>
        <w:spacing w:line="286" w:lineRule="auto"/>
        <w:rPr>
          <w:sz w:val="18"/>
          <w:szCs w:val="18"/>
        </w:rPr>
      </w:pPr>
      <w:r>
        <w:rPr>
          <w:rFonts w:hint="eastAsia"/>
          <w:sz w:val="18"/>
          <w:szCs w:val="18"/>
        </w:rPr>
        <w:t>【业绩比较基准】</w:t>
      </w:r>
    </w:p>
    <w:p w14:paraId="575EEFF6" w14:textId="4CB29D18" w:rsidR="00E859A8" w:rsidRDefault="00D94EFD">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rPr>
        <w:t>-</w:t>
      </w:r>
      <w:r>
        <w:rPr>
          <w:rFonts w:hint="eastAsia"/>
          <w:sz w:val="18"/>
          <w:szCs w:val="18"/>
        </w:rPr>
        <w:t>普惠颐养”</w:t>
      </w:r>
      <w:r w:rsidR="006B4521">
        <w:rPr>
          <w:color w:val="000000"/>
          <w:sz w:val="18"/>
          <w:szCs w:val="18"/>
        </w:rPr>
        <w:t>21005</w:t>
      </w:r>
      <w:r w:rsidR="006B4521">
        <w:rPr>
          <w:color w:val="000000"/>
          <w:sz w:val="18"/>
          <w:szCs w:val="18"/>
        </w:rPr>
        <w:t>号</w:t>
      </w:r>
      <w:r>
        <w:rPr>
          <w:rFonts w:hint="eastAsia"/>
          <w:sz w:val="18"/>
          <w:szCs w:val="18"/>
        </w:rPr>
        <w:t>开放式净值型（第</w:t>
      </w:r>
      <w:r>
        <w:rPr>
          <w:rFonts w:hint="eastAsia"/>
          <w:sz w:val="18"/>
          <w:szCs w:val="18"/>
        </w:rPr>
        <w:t>i</w:t>
      </w:r>
      <w:r>
        <w:rPr>
          <w:rFonts w:hint="eastAsia"/>
          <w:sz w:val="18"/>
          <w:szCs w:val="18"/>
        </w:rPr>
        <w:t>期）银行理财计划开放认购（申购）申请书》。投资运作周期到期时，该周期内的资金收益情况根据所投资资产组合的实际运作情况确定。</w:t>
      </w:r>
    </w:p>
    <w:p w14:paraId="7028A1A8" w14:textId="77777777" w:rsidR="00E859A8" w:rsidRDefault="00D94EFD">
      <w:pPr>
        <w:adjustRightInd w:val="0"/>
        <w:snapToGrid w:val="0"/>
        <w:spacing w:line="286" w:lineRule="auto"/>
        <w:rPr>
          <w:sz w:val="18"/>
          <w:szCs w:val="18"/>
        </w:rPr>
      </w:pPr>
      <w:r>
        <w:rPr>
          <w:rFonts w:hint="eastAsia"/>
          <w:sz w:val="18"/>
          <w:szCs w:val="18"/>
        </w:rPr>
        <w:t>【理财产品单位净值】</w:t>
      </w:r>
    </w:p>
    <w:p w14:paraId="61CE9C72" w14:textId="77777777" w:rsidR="00E859A8" w:rsidRDefault="00D94EFD">
      <w:pPr>
        <w:adjustRightInd w:val="0"/>
        <w:snapToGrid w:val="0"/>
        <w:spacing w:line="286" w:lineRule="auto"/>
        <w:rPr>
          <w:sz w:val="18"/>
          <w:szCs w:val="18"/>
        </w:rPr>
      </w:pPr>
      <w:r>
        <w:rPr>
          <w:rFonts w:hint="eastAsia"/>
          <w:sz w:val="18"/>
          <w:szCs w:val="18"/>
        </w:rPr>
        <w:t>理财产品单位净值</w:t>
      </w:r>
      <w:r>
        <w:rPr>
          <w:rFonts w:hint="eastAsia"/>
          <w:sz w:val="18"/>
          <w:szCs w:val="18"/>
        </w:rPr>
        <w:t>=</w:t>
      </w:r>
      <w:r>
        <w:rPr>
          <w:rFonts w:hint="eastAsia"/>
          <w:sz w:val="18"/>
          <w:szCs w:val="18"/>
        </w:rPr>
        <w:t>理财产品总净值</w:t>
      </w:r>
      <w:r>
        <w:rPr>
          <w:rFonts w:hint="eastAsia"/>
          <w:sz w:val="18"/>
          <w:szCs w:val="18"/>
        </w:rPr>
        <w:t>÷理财产品总份额</w:t>
      </w:r>
    </w:p>
    <w:p w14:paraId="4E54A957" w14:textId="77777777" w:rsidR="00E859A8" w:rsidRDefault="00D94EFD">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w:t>
      </w:r>
      <w:r>
        <w:rPr>
          <w:rFonts w:hint="eastAsia"/>
          <w:sz w:val="18"/>
          <w:szCs w:val="18"/>
        </w:rPr>
        <w:t>/</w:t>
      </w:r>
      <w:r>
        <w:rPr>
          <w:rFonts w:hint="eastAsia"/>
          <w:sz w:val="18"/>
          <w:szCs w:val="18"/>
        </w:rPr>
        <w:t>到期终止清算时的分配。</w:t>
      </w:r>
    </w:p>
    <w:p w14:paraId="20F145F9" w14:textId="77777777" w:rsidR="00E859A8" w:rsidRDefault="00D94EFD">
      <w:pPr>
        <w:adjustRightInd w:val="0"/>
        <w:snapToGrid w:val="0"/>
        <w:spacing w:line="286" w:lineRule="auto"/>
        <w:rPr>
          <w:sz w:val="18"/>
          <w:szCs w:val="18"/>
        </w:rPr>
      </w:pPr>
      <w:r>
        <w:rPr>
          <w:rFonts w:hint="eastAsia"/>
          <w:sz w:val="18"/>
          <w:szCs w:val="18"/>
        </w:rPr>
        <w:t>【理财计划申购、赎回】</w:t>
      </w:r>
    </w:p>
    <w:p w14:paraId="6316335A" w14:textId="46F8B103" w:rsidR="00E859A8" w:rsidRDefault="00D94EFD">
      <w:pPr>
        <w:adjustRightInd w:val="0"/>
        <w:snapToGrid w:val="0"/>
        <w:spacing w:line="286" w:lineRule="auto"/>
        <w:rPr>
          <w:sz w:val="18"/>
          <w:szCs w:val="18"/>
        </w:rPr>
      </w:pPr>
      <w:r>
        <w:rPr>
          <w:sz w:val="18"/>
          <w:szCs w:val="18"/>
        </w:rPr>
        <w:t>1.</w:t>
      </w:r>
      <w:r>
        <w:rPr>
          <w:sz w:val="18"/>
          <w:szCs w:val="18"/>
        </w:rPr>
        <w:t>投资</w:t>
      </w:r>
      <w:r>
        <w:rPr>
          <w:rFonts w:hint="eastAsia"/>
          <w:sz w:val="18"/>
          <w:szCs w:val="18"/>
        </w:rPr>
        <w:t>运作</w:t>
      </w:r>
      <w:r>
        <w:rPr>
          <w:sz w:val="18"/>
          <w:szCs w:val="18"/>
        </w:rPr>
        <w:t>周期</w:t>
      </w:r>
      <w:r>
        <w:rPr>
          <w:rFonts w:hint="eastAsia"/>
          <w:color w:val="000000"/>
          <w:sz w:val="18"/>
          <w:szCs w:val="18"/>
        </w:rPr>
        <w:t>：本理财计划成立日为</w:t>
      </w:r>
      <w:r>
        <w:rPr>
          <w:rFonts w:hint="eastAsia"/>
          <w:color w:val="000000"/>
          <w:sz w:val="18"/>
          <w:szCs w:val="18"/>
        </w:rPr>
        <w:t>2021</w:t>
      </w:r>
      <w:r>
        <w:rPr>
          <w:rFonts w:hint="eastAsia"/>
          <w:color w:val="000000"/>
          <w:sz w:val="18"/>
          <w:szCs w:val="18"/>
        </w:rPr>
        <w:t>年</w:t>
      </w:r>
      <w:r w:rsidR="006B4521">
        <w:rPr>
          <w:color w:val="000000"/>
          <w:sz w:val="18"/>
          <w:szCs w:val="18"/>
        </w:rPr>
        <w:t>2</w:t>
      </w:r>
      <w:r>
        <w:rPr>
          <w:rFonts w:hint="eastAsia"/>
          <w:color w:val="000000"/>
          <w:sz w:val="18"/>
          <w:szCs w:val="18"/>
        </w:rPr>
        <w:t>月</w:t>
      </w:r>
      <w:r w:rsidR="006B4521">
        <w:rPr>
          <w:rFonts w:hint="eastAsia"/>
          <w:color w:val="000000"/>
          <w:sz w:val="18"/>
          <w:szCs w:val="18"/>
        </w:rPr>
        <w:t>9</w:t>
      </w:r>
      <w:r>
        <w:rPr>
          <w:rFonts w:hint="eastAsia"/>
          <w:color w:val="000000"/>
          <w:sz w:val="18"/>
          <w:szCs w:val="18"/>
        </w:rPr>
        <w:t>日，从成立日起，每</w:t>
      </w:r>
      <w:r w:rsidR="006B4521">
        <w:rPr>
          <w:rFonts w:ascii="宋体" w:hAnsi="宋体"/>
          <w:sz w:val="18"/>
        </w:rPr>
        <w:t>【1093】</w:t>
      </w:r>
      <w:r>
        <w:rPr>
          <w:rFonts w:ascii="宋体" w:hAnsi="宋体"/>
          <w:sz w:val="18"/>
        </w:rPr>
        <w:t>天</w:t>
      </w:r>
      <w:r>
        <w:rPr>
          <w:rFonts w:hint="eastAsia"/>
          <w:sz w:val="18"/>
          <w:szCs w:val="18"/>
        </w:rPr>
        <w:t>为一个投资运作周期</w:t>
      </w:r>
      <w:r>
        <w:rPr>
          <w:rFonts w:ascii="宋体" w:hAnsi="宋体"/>
          <w:sz w:val="18"/>
        </w:rPr>
        <w:t>，</w:t>
      </w:r>
      <w:r>
        <w:rPr>
          <w:rFonts w:ascii="宋体" w:hAnsi="宋体" w:hint="eastAsia"/>
          <w:sz w:val="18"/>
        </w:rPr>
        <w:t>在本理财计划存续期内开放的其他</w:t>
      </w:r>
      <w:r>
        <w:rPr>
          <w:rFonts w:ascii="宋体" w:hAnsi="宋体"/>
          <w:sz w:val="18"/>
        </w:rPr>
        <w:t>投资周期可能会因非工作日调整大于或小于</w:t>
      </w:r>
      <w:r w:rsidR="006B4521">
        <w:rPr>
          <w:rFonts w:ascii="宋体" w:hAnsi="宋体"/>
          <w:sz w:val="18"/>
        </w:rPr>
        <w:t>【1093】</w:t>
      </w:r>
      <w:r>
        <w:rPr>
          <w:rFonts w:ascii="宋体" w:hAnsi="宋体"/>
          <w:sz w:val="18"/>
        </w:rPr>
        <w:t>天</w:t>
      </w:r>
      <w:r>
        <w:rPr>
          <w:rFonts w:hint="eastAsia"/>
          <w:sz w:val="18"/>
          <w:szCs w:val="18"/>
        </w:rPr>
        <w:t>。</w:t>
      </w:r>
    </w:p>
    <w:p w14:paraId="65BCF1FD" w14:textId="77777777" w:rsidR="00E859A8" w:rsidRDefault="00D94EFD">
      <w:pPr>
        <w:adjustRightInd w:val="0"/>
        <w:snapToGrid w:val="0"/>
        <w:spacing w:line="286" w:lineRule="auto"/>
        <w:rPr>
          <w:sz w:val="18"/>
          <w:szCs w:val="18"/>
        </w:rPr>
      </w:pPr>
      <w:r>
        <w:rPr>
          <w:sz w:val="18"/>
          <w:szCs w:val="18"/>
        </w:rPr>
        <w:lastRenderedPageBreak/>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1C9C5F23" w14:textId="77777777" w:rsidR="00E859A8" w:rsidRDefault="00D94EFD">
      <w:pPr>
        <w:adjustRightInd w:val="0"/>
        <w:snapToGrid w:val="0"/>
        <w:spacing w:line="286" w:lineRule="auto"/>
        <w:rPr>
          <w:sz w:val="18"/>
          <w:szCs w:val="18"/>
        </w:rPr>
      </w:pPr>
      <w:r>
        <w:rPr>
          <w:sz w:val="18"/>
          <w:szCs w:val="18"/>
        </w:rPr>
        <w:t>3.</w:t>
      </w:r>
      <w:r>
        <w:rPr>
          <w:rFonts w:hint="eastAsia"/>
          <w:sz w:val="18"/>
          <w:szCs w:val="18"/>
        </w:rPr>
        <w:t>申购、赎回原则</w:t>
      </w:r>
    </w:p>
    <w:p w14:paraId="35FA8E98" w14:textId="77777777" w:rsidR="00E859A8" w:rsidRDefault="00D94EFD">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683D1EA1" w14:textId="77777777" w:rsidR="00E859A8" w:rsidRDefault="00D94EF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0BCCF649" w14:textId="77777777" w:rsidR="00E859A8" w:rsidRDefault="00D94EFD">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5111024B" w14:textId="77777777" w:rsidR="00E859A8" w:rsidRDefault="00D94EFD">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1491E4CB" w14:textId="77777777" w:rsidR="00E859A8" w:rsidRDefault="00D94EFD">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w:t>
      </w:r>
      <w:r>
        <w:rPr>
          <w:rFonts w:hint="eastAsia"/>
          <w:sz w:val="18"/>
          <w:szCs w:val="18"/>
        </w:rPr>
        <w:t>赎回份额合计超过理财产品总份额的</w:t>
      </w:r>
      <w:r>
        <w:rPr>
          <w:rFonts w:hint="eastAsia"/>
          <w:sz w:val="18"/>
          <w:szCs w:val="18"/>
        </w:rPr>
        <w:t>2</w:t>
      </w:r>
      <w:r>
        <w:rPr>
          <w:sz w:val="18"/>
          <w:szCs w:val="18"/>
        </w:rPr>
        <w:t>0%</w:t>
      </w:r>
      <w:r>
        <w:rPr>
          <w:sz w:val="18"/>
          <w:szCs w:val="18"/>
        </w:rPr>
        <w:t>，则发生</w:t>
      </w:r>
      <w:r>
        <w:rPr>
          <w:rFonts w:hint="eastAsia"/>
          <w:sz w:val="18"/>
          <w:szCs w:val="18"/>
        </w:rPr>
        <w:t>巨额赎回事件，温州银行有权拒绝接受超过</w:t>
      </w:r>
      <w:r>
        <w:rPr>
          <w:rFonts w:hint="eastAsia"/>
          <w:sz w:val="18"/>
          <w:szCs w:val="18"/>
        </w:rPr>
        <w:t>2</w:t>
      </w:r>
      <w:r>
        <w:rPr>
          <w:sz w:val="18"/>
          <w:szCs w:val="18"/>
        </w:rPr>
        <w:t>0%</w:t>
      </w:r>
      <w:r>
        <w:rPr>
          <w:sz w:val="18"/>
          <w:szCs w:val="18"/>
        </w:rPr>
        <w:t>以上部分的赎回申请。</w:t>
      </w:r>
    </w:p>
    <w:p w14:paraId="3C0308A7" w14:textId="77777777" w:rsidR="00E859A8" w:rsidRDefault="00D94EFD">
      <w:pPr>
        <w:adjustRightInd w:val="0"/>
        <w:snapToGrid w:val="0"/>
        <w:spacing w:line="286" w:lineRule="auto"/>
        <w:rPr>
          <w:sz w:val="18"/>
          <w:szCs w:val="18"/>
        </w:rPr>
      </w:pPr>
      <w:r>
        <w:rPr>
          <w:rFonts w:hint="eastAsia"/>
          <w:sz w:val="18"/>
          <w:szCs w:val="18"/>
        </w:rPr>
        <w:t>示例：如果最新理财计划总存续份额为</w:t>
      </w:r>
      <w:r>
        <w:rPr>
          <w:rFonts w:hint="eastAsia"/>
          <w:sz w:val="18"/>
          <w:szCs w:val="18"/>
        </w:rPr>
        <w:t>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14:paraId="5B6FBE64" w14:textId="77777777" w:rsidR="00E859A8" w:rsidRDefault="00D94EFD">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68E7E65B" w14:textId="77777777" w:rsidR="00E859A8" w:rsidRDefault="00D94EFD">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w:t>
      </w:r>
      <w:r>
        <w:rPr>
          <w:rFonts w:hint="eastAsia"/>
          <w:sz w:val="18"/>
          <w:szCs w:val="18"/>
        </w:rPr>
        <w:t>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237D1DB5" w14:textId="77777777" w:rsidR="00E859A8" w:rsidRDefault="00D94EFD">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11E96AC5" w14:textId="77777777" w:rsidR="00E859A8" w:rsidRDefault="00D94EFD">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余额起点</w:instrText>
      </w:r>
      <w:r>
        <w:rPr>
          <w:sz w:val="18"/>
          <w:szCs w:val="18"/>
        </w:rPr>
        <w:fldChar w:fldCharType="end"/>
      </w:r>
      <w:r>
        <w:rPr>
          <w:rFonts w:hint="eastAsia"/>
          <w:sz w:val="18"/>
          <w:szCs w:val="18"/>
        </w:rPr>
        <w:t>份时，投资者剩余份额将被一次性全额赎回。</w:t>
      </w:r>
    </w:p>
    <w:p w14:paraId="42B1BC04"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10</w:t>
      </w:r>
      <w:r>
        <w:rPr>
          <w:rFonts w:hint="eastAsia"/>
          <w:sz w:val="18"/>
          <w:szCs w:val="18"/>
        </w:rPr>
        <w:t>）巨额赎回：</w:t>
      </w:r>
    </w:p>
    <w:p w14:paraId="3786C4FD" w14:textId="77777777" w:rsidR="00E859A8" w:rsidRDefault="00D94EFD">
      <w:pPr>
        <w:adjustRightInd w:val="0"/>
        <w:snapToGrid w:val="0"/>
        <w:spacing w:line="286" w:lineRule="auto"/>
        <w:rPr>
          <w:sz w:val="18"/>
          <w:szCs w:val="18"/>
        </w:rPr>
      </w:pPr>
      <w:r>
        <w:rPr>
          <w:rFonts w:ascii="Calibri" w:hAnsi="Calibri" w:cs="Calibri" w:hint="eastAsia"/>
          <w:sz w:val="18"/>
          <w:szCs w:val="18"/>
        </w:rPr>
        <w:t>1</w:t>
      </w:r>
      <w:r>
        <w:rPr>
          <w:rFonts w:ascii="Calibri" w:hAnsi="Calibri" w:cs="Calibri" w:hint="eastAsia"/>
          <w:sz w:val="18"/>
          <w:szCs w:val="18"/>
        </w:rPr>
        <w:t>）</w:t>
      </w:r>
      <w:r>
        <w:rPr>
          <w:rFonts w:hint="eastAsia"/>
          <w:sz w:val="18"/>
          <w:szCs w:val="18"/>
        </w:rPr>
        <w:t>巨额赎回认定</w:t>
      </w:r>
    </w:p>
    <w:p w14:paraId="483FE817" w14:textId="77777777" w:rsidR="00E859A8" w:rsidRDefault="00D94EFD">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w:t>
      </w:r>
      <w:r>
        <w:rPr>
          <w:rFonts w:hint="eastAsia"/>
          <w:sz w:val="18"/>
          <w:szCs w:val="18"/>
        </w:rPr>
        <w:t>10%</w:t>
      </w:r>
      <w:r>
        <w:rPr>
          <w:rFonts w:hint="eastAsia"/>
          <w:sz w:val="18"/>
          <w:szCs w:val="18"/>
        </w:rPr>
        <w:t>时，即构成巨额赎回，监管机构另有规定的除外。</w:t>
      </w:r>
    </w:p>
    <w:p w14:paraId="56B78D73" w14:textId="77777777" w:rsidR="00E859A8" w:rsidRDefault="00D94EFD">
      <w:pPr>
        <w:adjustRightInd w:val="0"/>
        <w:snapToGrid w:val="0"/>
        <w:spacing w:line="286" w:lineRule="auto"/>
        <w:rPr>
          <w:sz w:val="18"/>
          <w:szCs w:val="18"/>
        </w:rPr>
      </w:pPr>
      <w:r>
        <w:rPr>
          <w:rFonts w:hint="eastAsia"/>
          <w:sz w:val="18"/>
          <w:szCs w:val="18"/>
        </w:rPr>
        <w:t>2</w:t>
      </w:r>
      <w:r>
        <w:rPr>
          <w:rFonts w:hint="eastAsia"/>
          <w:sz w:val="18"/>
          <w:szCs w:val="18"/>
        </w:rPr>
        <w:t>）巨额赎回处理</w:t>
      </w:r>
    </w:p>
    <w:p w14:paraId="5ABA5F79" w14:textId="77777777" w:rsidR="00E859A8" w:rsidRDefault="00D94EFD">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3AED97F9" w14:textId="77777777" w:rsidR="00E859A8" w:rsidRDefault="00D94EFD">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47EBFE54" w14:textId="77777777" w:rsidR="00E859A8" w:rsidRDefault="00D94EFD">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w:t>
      </w:r>
      <w:r>
        <w:rPr>
          <w:rFonts w:hint="eastAsia"/>
          <w:sz w:val="18"/>
          <w:szCs w:val="18"/>
        </w:rPr>
        <w:t>10%</w:t>
      </w:r>
      <w:r>
        <w:rPr>
          <w:rFonts w:hint="eastAsia"/>
          <w:sz w:val="18"/>
          <w:szCs w:val="18"/>
        </w:rPr>
        <w:t>的前提下，对其余赎回申请有</w:t>
      </w:r>
      <w:r>
        <w:rPr>
          <w:rFonts w:hint="eastAsia"/>
          <w:sz w:val="18"/>
          <w:szCs w:val="18"/>
        </w:rPr>
        <w:t>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4388B24F" w14:textId="77777777" w:rsidR="00E859A8" w:rsidRDefault="00D94EFD">
      <w:pPr>
        <w:adjustRightInd w:val="0"/>
        <w:snapToGrid w:val="0"/>
        <w:spacing w:line="286" w:lineRule="auto"/>
        <w:rPr>
          <w:rFonts w:ascii="Calibri" w:hAnsi="Calibri" w:cs="Calibri"/>
          <w:sz w:val="18"/>
          <w:szCs w:val="18"/>
        </w:rPr>
      </w:pPr>
      <w:r>
        <w:rPr>
          <w:rFonts w:ascii="Calibri" w:hAnsi="Calibri" w:cs="Calibri"/>
          <w:sz w:val="18"/>
          <w:szCs w:val="18"/>
        </w:rPr>
        <w:t>③</w:t>
      </w:r>
      <w:r>
        <w:rPr>
          <w:rFonts w:ascii="Calibri" w:hAnsi="Calibri" w:cs="Calibri" w:hint="eastAsia"/>
          <w:sz w:val="18"/>
          <w:szCs w:val="18"/>
        </w:rPr>
        <w:t>延期支付赎回款项：</w:t>
      </w:r>
      <w:r>
        <w:rPr>
          <w:rFonts w:ascii="Calibri" w:hAnsi="Calibri" w:cs="Calibri"/>
          <w:sz w:val="18"/>
          <w:szCs w:val="18"/>
        </w:rPr>
        <w:t>连续</w:t>
      </w:r>
      <w:r>
        <w:rPr>
          <w:rFonts w:ascii="Calibri" w:hAnsi="Calibri" w:cs="Calibri"/>
          <w:sz w:val="18"/>
          <w:szCs w:val="18"/>
        </w:rPr>
        <w:t>2</w:t>
      </w:r>
      <w:r>
        <w:rPr>
          <w:rFonts w:ascii="Calibri" w:hAnsi="Calibri" w:cs="Calibri"/>
          <w:sz w:val="18"/>
          <w:szCs w:val="18"/>
        </w:rPr>
        <w:t>个</w:t>
      </w:r>
      <w:r>
        <w:rPr>
          <w:rFonts w:ascii="Calibri" w:hAnsi="Calibri" w:cs="Calibri" w:hint="eastAsia"/>
          <w:sz w:val="18"/>
          <w:szCs w:val="18"/>
        </w:rPr>
        <w:t>（含）</w:t>
      </w:r>
      <w:r>
        <w:rPr>
          <w:rFonts w:ascii="Calibri" w:hAnsi="Calibri" w:cs="Calibri"/>
          <w:sz w:val="18"/>
          <w:szCs w:val="18"/>
        </w:rPr>
        <w:t>以上开放日发生巨额赎回的，除采取</w:t>
      </w:r>
      <w:r>
        <w:rPr>
          <w:rFonts w:ascii="Calibri" w:hAnsi="Calibri" w:cs="Calibri" w:hint="eastAsia"/>
          <w:sz w:val="18"/>
          <w:szCs w:val="18"/>
        </w:rPr>
        <w:t>前述</w:t>
      </w:r>
      <w:r>
        <w:rPr>
          <w:rFonts w:ascii="Calibri" w:hAnsi="Calibri" w:cs="Calibri"/>
          <w:sz w:val="18"/>
          <w:szCs w:val="18"/>
        </w:rPr>
        <w:t>措施外，对于已经接受的赎回申请，</w:t>
      </w:r>
      <w:r>
        <w:rPr>
          <w:rFonts w:ascii="Calibri" w:hAnsi="Calibri" w:cs="Calibri" w:hint="eastAsia"/>
          <w:sz w:val="18"/>
          <w:szCs w:val="18"/>
        </w:rPr>
        <w:t>管理人</w:t>
      </w:r>
      <w:r>
        <w:rPr>
          <w:rFonts w:ascii="Calibri" w:hAnsi="Calibri" w:cs="Calibri"/>
          <w:sz w:val="18"/>
          <w:szCs w:val="18"/>
        </w:rPr>
        <w:t>还可以延缓支付赎回款项，但延缓期限不得超过</w:t>
      </w:r>
      <w:r>
        <w:rPr>
          <w:rFonts w:ascii="Calibri" w:hAnsi="Calibri" w:cs="Calibri"/>
          <w:sz w:val="18"/>
          <w:szCs w:val="18"/>
        </w:rPr>
        <w:t>20</w:t>
      </w:r>
      <w:r>
        <w:rPr>
          <w:rFonts w:ascii="Calibri" w:hAnsi="Calibri" w:cs="Calibri"/>
          <w:sz w:val="18"/>
          <w:szCs w:val="18"/>
        </w:rPr>
        <w:t>个工作日。</w:t>
      </w:r>
    </w:p>
    <w:p w14:paraId="6E2D59B6" w14:textId="77777777" w:rsidR="00E859A8" w:rsidRDefault="00D94EFD">
      <w:pPr>
        <w:adjustRightInd w:val="0"/>
        <w:snapToGrid w:val="0"/>
        <w:spacing w:line="286" w:lineRule="auto"/>
        <w:rPr>
          <w:rFonts w:ascii="Calibri" w:hAnsi="Calibri" w:cs="Calibri"/>
          <w:sz w:val="18"/>
          <w:szCs w:val="18"/>
        </w:rPr>
      </w:pPr>
      <w:r>
        <w:rPr>
          <w:rFonts w:ascii="Calibri" w:hAnsi="Calibri" w:cs="Calibri"/>
          <w:sz w:val="18"/>
          <w:szCs w:val="18"/>
        </w:rPr>
        <w:t>④</w:t>
      </w:r>
      <w:r>
        <w:rPr>
          <w:rFonts w:ascii="Calibri" w:hAnsi="Calibri" w:cs="Calibri" w:hint="eastAsia"/>
          <w:sz w:val="18"/>
          <w:szCs w:val="18"/>
        </w:rPr>
        <w:t>收取短期赎回费：产品发生巨额赎回或管理人认为可能</w:t>
      </w:r>
      <w:r>
        <w:rPr>
          <w:rFonts w:ascii="Calibri" w:hAnsi="Calibri" w:cs="Calibri" w:hint="eastAsia"/>
          <w:sz w:val="18"/>
          <w:szCs w:val="18"/>
        </w:rPr>
        <w:t>回导致产品流动性风险的其他情形下，管理人可向连续持有少于</w:t>
      </w:r>
      <w:r>
        <w:rPr>
          <w:rFonts w:ascii="Calibri" w:hAnsi="Calibri" w:cs="Calibri" w:hint="eastAsia"/>
          <w:sz w:val="18"/>
          <w:szCs w:val="18"/>
        </w:rPr>
        <w:t>7</w:t>
      </w:r>
      <w:r>
        <w:rPr>
          <w:rFonts w:ascii="Calibri" w:hAnsi="Calibri" w:cs="Calibri" w:hint="eastAsia"/>
          <w:sz w:val="18"/>
          <w:szCs w:val="18"/>
        </w:rPr>
        <w:t>日的开放式理财产品投资者收取赎回费，并将上述赎回费全额计入理财产品财产。</w:t>
      </w:r>
    </w:p>
    <w:p w14:paraId="5CD7933A" w14:textId="77777777" w:rsidR="00E859A8" w:rsidRDefault="00D94EFD">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5537F881" w14:textId="77777777" w:rsidR="00E859A8" w:rsidRDefault="00D94EFD">
      <w:pPr>
        <w:numPr>
          <w:ilvl w:val="0"/>
          <w:numId w:val="2"/>
        </w:numPr>
        <w:adjustRightInd w:val="0"/>
        <w:snapToGrid w:val="0"/>
        <w:spacing w:line="286" w:lineRule="auto"/>
        <w:rPr>
          <w:sz w:val="18"/>
          <w:szCs w:val="18"/>
        </w:rPr>
      </w:pPr>
      <w:r>
        <w:rPr>
          <w:rFonts w:hint="eastAsia"/>
          <w:sz w:val="18"/>
          <w:szCs w:val="18"/>
        </w:rPr>
        <w:t>摆动定价机制</w:t>
      </w:r>
    </w:p>
    <w:p w14:paraId="5F453DEF" w14:textId="77777777" w:rsidR="00E859A8" w:rsidRDefault="00D94EFD">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w:t>
      </w:r>
      <w:r>
        <w:rPr>
          <w:rFonts w:hint="eastAsia"/>
          <w:sz w:val="18"/>
          <w:szCs w:val="18"/>
        </w:rPr>
        <w:t>法规、监管规定和自律规则执行。</w:t>
      </w:r>
    </w:p>
    <w:p w14:paraId="7E65E831" w14:textId="77777777" w:rsidR="00E859A8" w:rsidRDefault="00D94EFD">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26898EFF" w14:textId="77777777" w:rsidR="00E859A8" w:rsidRDefault="00D94EFD">
      <w:pPr>
        <w:adjustRightInd w:val="0"/>
        <w:snapToGrid w:val="0"/>
        <w:spacing w:line="286" w:lineRule="auto"/>
        <w:rPr>
          <w:sz w:val="18"/>
          <w:szCs w:val="18"/>
        </w:rPr>
      </w:pPr>
      <w:r>
        <w:rPr>
          <w:rFonts w:hint="eastAsia"/>
          <w:sz w:val="18"/>
          <w:szCs w:val="18"/>
        </w:rPr>
        <w:t>（</w:t>
      </w:r>
      <w:r>
        <w:rPr>
          <w:sz w:val="18"/>
          <w:szCs w:val="18"/>
        </w:rPr>
        <w:t>1</w:t>
      </w:r>
      <w:r>
        <w:rPr>
          <w:sz w:val="18"/>
          <w:szCs w:val="18"/>
        </w:rPr>
        <w:t>）申购、赎回的申请方式</w:t>
      </w:r>
    </w:p>
    <w:p w14:paraId="063F9565" w14:textId="77777777" w:rsidR="00E859A8" w:rsidRDefault="00D94EFD">
      <w:pPr>
        <w:adjustRightInd w:val="0"/>
        <w:snapToGrid w:val="0"/>
        <w:spacing w:line="286" w:lineRule="auto"/>
        <w:rPr>
          <w:sz w:val="18"/>
          <w:szCs w:val="18"/>
        </w:rPr>
      </w:pPr>
      <w:r>
        <w:rPr>
          <w:rFonts w:hint="eastAsia"/>
          <w:sz w:val="18"/>
          <w:szCs w:val="18"/>
        </w:rPr>
        <w:t>投资者必须在开放期内提出申购、赎回的申请。</w:t>
      </w:r>
    </w:p>
    <w:p w14:paraId="5053057A" w14:textId="77777777" w:rsidR="00E859A8" w:rsidRDefault="00D94EFD">
      <w:pPr>
        <w:adjustRightInd w:val="0"/>
        <w:snapToGrid w:val="0"/>
        <w:spacing w:line="286" w:lineRule="auto"/>
        <w:rPr>
          <w:sz w:val="18"/>
          <w:szCs w:val="18"/>
        </w:rPr>
      </w:pPr>
      <w:r>
        <w:rPr>
          <w:rFonts w:hint="eastAsia"/>
          <w:sz w:val="18"/>
          <w:szCs w:val="18"/>
        </w:rPr>
        <w:t>投资者在提交申购申请时，须备足申购资金。</w:t>
      </w:r>
    </w:p>
    <w:p w14:paraId="1C060598" w14:textId="77777777" w:rsidR="00E859A8" w:rsidRDefault="00D94EFD">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2E115DC1"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）申购、赎回的支付</w:t>
      </w:r>
    </w:p>
    <w:p w14:paraId="6B467E2B" w14:textId="77777777" w:rsidR="00E859A8" w:rsidRDefault="00D94EFD">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xml:space="preserve">　</w:t>
      </w:r>
    </w:p>
    <w:p w14:paraId="0A631549" w14:textId="77777777" w:rsidR="00E859A8" w:rsidRDefault="00D94EFD">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lastRenderedPageBreak/>
        <w:t>3</w:t>
      </w:r>
      <w:r>
        <w:rPr>
          <w:rFonts w:hint="eastAsia"/>
          <w:sz w:val="18"/>
          <w:szCs w:val="18"/>
        </w:rPr>
        <w:t>个工作日内划转至投资者账户。</w:t>
      </w:r>
    </w:p>
    <w:p w14:paraId="16344719" w14:textId="77777777" w:rsidR="00E859A8" w:rsidRDefault="00D94EFD">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6E9838AF"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）申购份额的计算</w:t>
      </w:r>
    </w:p>
    <w:p w14:paraId="60C39107" w14:textId="77777777" w:rsidR="00E859A8" w:rsidRDefault="00D94EFD">
      <w:pPr>
        <w:adjustRightInd w:val="0"/>
        <w:snapToGrid w:val="0"/>
        <w:spacing w:line="286" w:lineRule="auto"/>
        <w:rPr>
          <w:sz w:val="18"/>
          <w:szCs w:val="18"/>
        </w:rPr>
      </w:pPr>
      <w:r>
        <w:rPr>
          <w:rFonts w:hint="eastAsia"/>
          <w:sz w:val="18"/>
          <w:szCs w:val="18"/>
        </w:rPr>
        <w:t>本理财计划申购份额的具体计算方法如下：</w:t>
      </w:r>
    </w:p>
    <w:p w14:paraId="499F9255" w14:textId="77777777" w:rsidR="00E859A8" w:rsidRDefault="00D94EFD">
      <w:pPr>
        <w:adjustRightInd w:val="0"/>
        <w:snapToGrid w:val="0"/>
        <w:spacing w:line="286" w:lineRule="auto"/>
        <w:rPr>
          <w:sz w:val="18"/>
          <w:szCs w:val="18"/>
        </w:rPr>
      </w:pPr>
      <w:r>
        <w:rPr>
          <w:rFonts w:hint="eastAsia"/>
          <w:sz w:val="18"/>
          <w:szCs w:val="18"/>
        </w:rPr>
        <w:t>申购份额＝申购金额÷申购确认日前一自然日理财计划单位净值</w:t>
      </w:r>
    </w:p>
    <w:p w14:paraId="09BDAA16" w14:textId="77777777" w:rsidR="00E859A8" w:rsidRDefault="00D94EFD">
      <w:pPr>
        <w:adjustRightInd w:val="0"/>
        <w:snapToGrid w:val="0"/>
        <w:spacing w:line="286" w:lineRule="auto"/>
        <w:rPr>
          <w:sz w:val="18"/>
          <w:szCs w:val="18"/>
        </w:rPr>
      </w:pPr>
      <w:r>
        <w:rPr>
          <w:rFonts w:hint="eastAsia"/>
          <w:sz w:val="18"/>
          <w:szCs w:val="18"/>
        </w:rPr>
        <w:t>申购费：本理财计划不收取申购费。</w:t>
      </w:r>
    </w:p>
    <w:p w14:paraId="4C32D459" w14:textId="77777777" w:rsidR="00E859A8" w:rsidRDefault="00D94EFD">
      <w:pPr>
        <w:adjustRightInd w:val="0"/>
        <w:snapToGrid w:val="0"/>
        <w:spacing w:line="286" w:lineRule="auto"/>
        <w:rPr>
          <w:sz w:val="18"/>
          <w:szCs w:val="18"/>
        </w:rPr>
      </w:pPr>
      <w:r>
        <w:rPr>
          <w:rFonts w:hint="eastAsia"/>
          <w:sz w:val="18"/>
          <w:szCs w:val="18"/>
        </w:rPr>
        <w:t>申购份额保留至小数点后</w:t>
      </w:r>
      <w:r>
        <w:rPr>
          <w:rFonts w:hint="eastAsia"/>
          <w:sz w:val="18"/>
          <w:szCs w:val="18"/>
        </w:rPr>
        <w:t>2</w:t>
      </w:r>
      <w:r>
        <w:rPr>
          <w:rFonts w:hint="eastAsia"/>
          <w:sz w:val="18"/>
          <w:szCs w:val="18"/>
        </w:rPr>
        <w:t>位（保留</w:t>
      </w:r>
      <w:r>
        <w:rPr>
          <w:rFonts w:hint="eastAsia"/>
          <w:sz w:val="18"/>
          <w:szCs w:val="18"/>
        </w:rPr>
        <w:t>2</w:t>
      </w:r>
      <w:r>
        <w:rPr>
          <w:rFonts w:hint="eastAsia"/>
          <w:sz w:val="18"/>
          <w:szCs w:val="18"/>
        </w:rPr>
        <w:t>位小数，</w:t>
      </w:r>
      <w:r>
        <w:rPr>
          <w:rFonts w:hint="eastAsia"/>
          <w:sz w:val="18"/>
          <w:szCs w:val="18"/>
        </w:rPr>
        <w:t>2</w:t>
      </w:r>
      <w:r>
        <w:rPr>
          <w:rFonts w:hint="eastAsia"/>
          <w:sz w:val="18"/>
          <w:szCs w:val="18"/>
        </w:rPr>
        <w:t>位小数点后四舍五入）。</w:t>
      </w:r>
    </w:p>
    <w:p w14:paraId="550949AD" w14:textId="77777777" w:rsidR="00E859A8" w:rsidRDefault="00D94EFD">
      <w:pPr>
        <w:adjustRightInd w:val="0"/>
        <w:snapToGrid w:val="0"/>
        <w:spacing w:line="286" w:lineRule="auto"/>
        <w:rPr>
          <w:sz w:val="18"/>
          <w:szCs w:val="18"/>
        </w:rPr>
      </w:pPr>
      <w:r>
        <w:rPr>
          <w:rFonts w:hint="eastAsia"/>
          <w:sz w:val="18"/>
          <w:szCs w:val="18"/>
        </w:rPr>
        <w:t>示例：假定某投资者投资</w:t>
      </w:r>
      <w:r>
        <w:rPr>
          <w:rFonts w:hint="eastAsia"/>
          <w:sz w:val="18"/>
          <w:szCs w:val="18"/>
        </w:rPr>
        <w:t>100</w:t>
      </w:r>
      <w:r>
        <w:rPr>
          <w:rFonts w:hint="eastAsia"/>
          <w:sz w:val="18"/>
          <w:szCs w:val="18"/>
        </w:rPr>
        <w:t>万元人民币申购本理财计划，理财计划单位净值为</w:t>
      </w:r>
      <w:r>
        <w:rPr>
          <w:rFonts w:hint="eastAsia"/>
          <w:sz w:val="18"/>
          <w:szCs w:val="18"/>
        </w:rPr>
        <w:t xml:space="preserve"> 1.0250</w:t>
      </w:r>
      <w:r>
        <w:rPr>
          <w:rFonts w:hint="eastAsia"/>
          <w:sz w:val="18"/>
          <w:szCs w:val="18"/>
        </w:rPr>
        <w:t>元人民币，则其可得到的申购份额和应支付的</w:t>
      </w:r>
      <w:r>
        <w:rPr>
          <w:rFonts w:hint="eastAsia"/>
          <w:sz w:val="18"/>
          <w:szCs w:val="18"/>
        </w:rPr>
        <w:t>申购费计算如下：</w:t>
      </w:r>
    </w:p>
    <w:p w14:paraId="605C488A" w14:textId="77777777" w:rsidR="00E859A8" w:rsidRDefault="00D94EFD">
      <w:pPr>
        <w:adjustRightInd w:val="0"/>
        <w:snapToGrid w:val="0"/>
        <w:spacing w:line="286" w:lineRule="auto"/>
        <w:rPr>
          <w:sz w:val="18"/>
          <w:szCs w:val="18"/>
        </w:rPr>
      </w:pPr>
      <w:r>
        <w:rPr>
          <w:rFonts w:hint="eastAsia"/>
          <w:sz w:val="18"/>
          <w:szCs w:val="18"/>
        </w:rPr>
        <w:t>申购份数＝</w:t>
      </w:r>
      <w:r>
        <w:rPr>
          <w:rFonts w:hint="eastAsia"/>
          <w:sz w:val="18"/>
          <w:szCs w:val="18"/>
        </w:rPr>
        <w:t>100</w:t>
      </w:r>
      <w:r>
        <w:rPr>
          <w:rFonts w:hint="eastAsia"/>
          <w:sz w:val="18"/>
          <w:szCs w:val="18"/>
        </w:rPr>
        <w:t>万元人民币÷</w:t>
      </w:r>
      <w:r>
        <w:rPr>
          <w:rFonts w:hint="eastAsia"/>
          <w:sz w:val="18"/>
          <w:szCs w:val="18"/>
        </w:rPr>
        <w:t>1.0250</w:t>
      </w:r>
      <w:r>
        <w:rPr>
          <w:rFonts w:hint="eastAsia"/>
          <w:sz w:val="18"/>
          <w:szCs w:val="18"/>
        </w:rPr>
        <w:t>＝</w:t>
      </w:r>
      <w:r>
        <w:rPr>
          <w:rFonts w:hint="eastAsia"/>
          <w:sz w:val="18"/>
          <w:szCs w:val="18"/>
        </w:rPr>
        <w:t>975609.76</w:t>
      </w:r>
      <w:r>
        <w:rPr>
          <w:rFonts w:hint="eastAsia"/>
          <w:sz w:val="18"/>
          <w:szCs w:val="18"/>
        </w:rPr>
        <w:t>份</w:t>
      </w:r>
    </w:p>
    <w:p w14:paraId="4F57B60A" w14:textId="77777777" w:rsidR="00E859A8" w:rsidRDefault="00D94EFD">
      <w:pPr>
        <w:adjustRightInd w:val="0"/>
        <w:snapToGrid w:val="0"/>
        <w:spacing w:line="286" w:lineRule="auto"/>
        <w:rPr>
          <w:sz w:val="18"/>
          <w:szCs w:val="18"/>
        </w:rPr>
      </w:pPr>
      <w:r>
        <w:rPr>
          <w:rFonts w:hint="eastAsia"/>
          <w:sz w:val="18"/>
          <w:szCs w:val="18"/>
        </w:rPr>
        <w:t>申购费＝</w:t>
      </w:r>
      <w:r>
        <w:rPr>
          <w:rFonts w:hint="eastAsia"/>
          <w:sz w:val="18"/>
          <w:szCs w:val="18"/>
        </w:rPr>
        <w:t>100</w:t>
      </w:r>
      <w:r>
        <w:rPr>
          <w:rFonts w:hint="eastAsia"/>
          <w:sz w:val="18"/>
          <w:szCs w:val="18"/>
        </w:rPr>
        <w:t>万元人民币×</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14:paraId="72EF8AA7"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2</w:t>
      </w:r>
      <w:r>
        <w:rPr>
          <w:sz w:val="18"/>
          <w:szCs w:val="18"/>
        </w:rPr>
        <w:t>）</w:t>
      </w:r>
      <w:r>
        <w:rPr>
          <w:rFonts w:hint="eastAsia"/>
          <w:sz w:val="18"/>
          <w:szCs w:val="18"/>
        </w:rPr>
        <w:t>理财计划赎回金额的计算</w:t>
      </w:r>
    </w:p>
    <w:p w14:paraId="6AA70D85" w14:textId="77777777" w:rsidR="00E859A8" w:rsidRDefault="00D94EFD">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w:t>
      </w:r>
      <w:r>
        <w:rPr>
          <w:rFonts w:hint="eastAsia"/>
          <w:sz w:val="18"/>
          <w:szCs w:val="18"/>
        </w:rPr>
        <w:t>,</w:t>
      </w:r>
      <w:r>
        <w:rPr>
          <w:rFonts w:hint="eastAsia"/>
          <w:sz w:val="18"/>
          <w:szCs w:val="18"/>
        </w:rPr>
        <w:t>计算公式如下：</w:t>
      </w:r>
    </w:p>
    <w:p w14:paraId="25BE940A" w14:textId="77777777" w:rsidR="00E859A8" w:rsidRDefault="00D94EFD">
      <w:pPr>
        <w:adjustRightInd w:val="0"/>
        <w:snapToGrid w:val="0"/>
        <w:spacing w:line="286" w:lineRule="auto"/>
        <w:rPr>
          <w:sz w:val="18"/>
          <w:szCs w:val="18"/>
        </w:rPr>
      </w:pPr>
      <w:r>
        <w:rPr>
          <w:rFonts w:hint="eastAsia"/>
          <w:sz w:val="18"/>
          <w:szCs w:val="18"/>
        </w:rPr>
        <w:t>赎回金额＝总赎回份额×赎回确认日前一自然日理财计划单位净值</w:t>
      </w:r>
    </w:p>
    <w:p w14:paraId="1B420C9E" w14:textId="77777777" w:rsidR="00E859A8" w:rsidRDefault="00D94EFD">
      <w:pPr>
        <w:adjustRightInd w:val="0"/>
        <w:snapToGrid w:val="0"/>
        <w:spacing w:line="286" w:lineRule="auto"/>
        <w:rPr>
          <w:sz w:val="18"/>
          <w:szCs w:val="18"/>
        </w:rPr>
      </w:pPr>
      <w:r>
        <w:rPr>
          <w:rFonts w:hint="eastAsia"/>
          <w:sz w:val="18"/>
          <w:szCs w:val="18"/>
        </w:rPr>
        <w:t>（赎回金额保留</w:t>
      </w:r>
      <w:r>
        <w:rPr>
          <w:rFonts w:hint="eastAsia"/>
          <w:sz w:val="18"/>
          <w:szCs w:val="18"/>
        </w:rPr>
        <w:t>2</w:t>
      </w:r>
      <w:r>
        <w:rPr>
          <w:rFonts w:hint="eastAsia"/>
          <w:sz w:val="18"/>
          <w:szCs w:val="18"/>
        </w:rPr>
        <w:t>位小数，</w:t>
      </w:r>
      <w:r>
        <w:rPr>
          <w:sz w:val="18"/>
          <w:szCs w:val="18"/>
        </w:rPr>
        <w:t>2</w:t>
      </w:r>
      <w:r>
        <w:rPr>
          <w:sz w:val="18"/>
          <w:szCs w:val="18"/>
        </w:rPr>
        <w:t>位小数点后</w:t>
      </w:r>
      <w:r>
        <w:rPr>
          <w:rFonts w:hint="eastAsia"/>
          <w:sz w:val="18"/>
          <w:szCs w:val="18"/>
        </w:rPr>
        <w:t>四舍五入</w:t>
      </w:r>
      <w:r>
        <w:rPr>
          <w:sz w:val="18"/>
          <w:szCs w:val="18"/>
        </w:rPr>
        <w:t>）</w:t>
      </w:r>
    </w:p>
    <w:p w14:paraId="4FEAB9BA" w14:textId="77777777" w:rsidR="00E859A8" w:rsidRDefault="00D94EFD">
      <w:pPr>
        <w:adjustRightInd w:val="0"/>
        <w:snapToGrid w:val="0"/>
        <w:spacing w:line="286" w:lineRule="auto"/>
        <w:rPr>
          <w:sz w:val="18"/>
          <w:szCs w:val="18"/>
        </w:rPr>
      </w:pPr>
      <w:r>
        <w:rPr>
          <w:rFonts w:hint="eastAsia"/>
          <w:sz w:val="18"/>
          <w:szCs w:val="18"/>
        </w:rPr>
        <w:t>赎回费＝赎回金额×赎回费率</w:t>
      </w:r>
    </w:p>
    <w:p w14:paraId="7AE3F47A" w14:textId="77777777" w:rsidR="00E859A8" w:rsidRDefault="00D94EFD">
      <w:pPr>
        <w:adjustRightInd w:val="0"/>
        <w:snapToGrid w:val="0"/>
        <w:spacing w:line="286" w:lineRule="auto"/>
        <w:rPr>
          <w:sz w:val="18"/>
          <w:szCs w:val="18"/>
        </w:rPr>
      </w:pPr>
      <w:r>
        <w:rPr>
          <w:rFonts w:hint="eastAsia"/>
          <w:sz w:val="18"/>
          <w:szCs w:val="18"/>
        </w:rPr>
        <w:t>投资者应得赎回资金＝赎回金额－赎回费，本计划赎回费率为</w:t>
      </w:r>
      <w:r>
        <w:rPr>
          <w:rFonts w:hint="eastAsia"/>
          <w:sz w:val="18"/>
          <w:szCs w:val="18"/>
        </w:rPr>
        <w:t>0</w:t>
      </w:r>
      <w:r>
        <w:rPr>
          <w:rFonts w:hint="eastAsia"/>
          <w:sz w:val="18"/>
          <w:szCs w:val="18"/>
        </w:rPr>
        <w:t>。</w:t>
      </w:r>
    </w:p>
    <w:p w14:paraId="1626D958" w14:textId="77777777" w:rsidR="00E859A8" w:rsidRDefault="00D94EFD">
      <w:pPr>
        <w:adjustRightInd w:val="0"/>
        <w:snapToGrid w:val="0"/>
        <w:spacing w:line="286" w:lineRule="auto"/>
        <w:rPr>
          <w:sz w:val="18"/>
          <w:szCs w:val="18"/>
        </w:rPr>
      </w:pPr>
      <w:r>
        <w:rPr>
          <w:rFonts w:hint="eastAsia"/>
          <w:sz w:val="18"/>
          <w:szCs w:val="18"/>
        </w:rPr>
        <w:t>示例：假定某投资者赎回</w:t>
      </w:r>
      <w:r>
        <w:rPr>
          <w:rFonts w:hint="eastAsia"/>
          <w:sz w:val="18"/>
          <w:szCs w:val="18"/>
        </w:rPr>
        <w:t>100000</w:t>
      </w:r>
      <w:r>
        <w:rPr>
          <w:rFonts w:hint="eastAsia"/>
          <w:sz w:val="18"/>
          <w:szCs w:val="18"/>
        </w:rPr>
        <w:t>份理财计划份额，理财计划单位净值为</w:t>
      </w:r>
      <w:r>
        <w:rPr>
          <w:rFonts w:hint="eastAsia"/>
          <w:sz w:val="18"/>
          <w:szCs w:val="18"/>
        </w:rPr>
        <w:t>1.0530</w:t>
      </w:r>
      <w:r>
        <w:rPr>
          <w:rFonts w:hint="eastAsia"/>
          <w:sz w:val="18"/>
          <w:szCs w:val="18"/>
        </w:rPr>
        <w:t>元人民币时赎回。</w:t>
      </w:r>
    </w:p>
    <w:p w14:paraId="6B6CC388" w14:textId="77777777" w:rsidR="00E859A8" w:rsidRDefault="00D94EFD">
      <w:pPr>
        <w:adjustRightInd w:val="0"/>
        <w:snapToGrid w:val="0"/>
        <w:spacing w:line="286" w:lineRule="auto"/>
        <w:rPr>
          <w:sz w:val="18"/>
          <w:szCs w:val="18"/>
        </w:rPr>
      </w:pPr>
      <w:r>
        <w:rPr>
          <w:rFonts w:hint="eastAsia"/>
          <w:sz w:val="18"/>
          <w:szCs w:val="18"/>
        </w:rPr>
        <w:t>赎回金额（扣除赎回费前）＝</w:t>
      </w:r>
      <w:r>
        <w:rPr>
          <w:rFonts w:hint="eastAsia"/>
          <w:sz w:val="18"/>
          <w:szCs w:val="18"/>
        </w:rPr>
        <w:t>100000</w:t>
      </w:r>
      <w:r>
        <w:rPr>
          <w:rFonts w:hint="eastAsia"/>
          <w:sz w:val="18"/>
          <w:szCs w:val="18"/>
        </w:rPr>
        <w:t>×</w:t>
      </w:r>
      <w:r>
        <w:rPr>
          <w:rFonts w:hint="eastAsia"/>
          <w:sz w:val="18"/>
          <w:szCs w:val="18"/>
        </w:rPr>
        <w:t>1.0530</w:t>
      </w:r>
      <w:r>
        <w:rPr>
          <w:rFonts w:hint="eastAsia"/>
          <w:sz w:val="18"/>
          <w:szCs w:val="18"/>
        </w:rPr>
        <w:t>＝</w:t>
      </w:r>
      <w:r>
        <w:rPr>
          <w:rFonts w:hint="eastAsia"/>
          <w:sz w:val="18"/>
          <w:szCs w:val="18"/>
        </w:rPr>
        <w:t>105300</w:t>
      </w:r>
      <w:r>
        <w:rPr>
          <w:rFonts w:hint="eastAsia"/>
          <w:sz w:val="18"/>
          <w:szCs w:val="18"/>
        </w:rPr>
        <w:t>元人民币</w:t>
      </w:r>
    </w:p>
    <w:p w14:paraId="46962BF2" w14:textId="77777777" w:rsidR="00E859A8" w:rsidRDefault="00D94EFD">
      <w:pPr>
        <w:adjustRightInd w:val="0"/>
        <w:snapToGrid w:val="0"/>
        <w:spacing w:line="286" w:lineRule="auto"/>
        <w:rPr>
          <w:sz w:val="18"/>
          <w:szCs w:val="18"/>
        </w:rPr>
      </w:pPr>
      <w:r>
        <w:rPr>
          <w:rFonts w:hint="eastAsia"/>
          <w:sz w:val="18"/>
          <w:szCs w:val="18"/>
        </w:rPr>
        <w:t>赎回费＝</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14:paraId="0A20C05A" w14:textId="77777777" w:rsidR="00E859A8" w:rsidRDefault="00D94EFD">
      <w:pPr>
        <w:adjustRightInd w:val="0"/>
        <w:snapToGrid w:val="0"/>
        <w:spacing w:line="286" w:lineRule="auto"/>
        <w:rPr>
          <w:sz w:val="18"/>
          <w:szCs w:val="18"/>
        </w:rPr>
      </w:pPr>
      <w:r>
        <w:rPr>
          <w:rFonts w:hint="eastAsia"/>
          <w:sz w:val="18"/>
          <w:szCs w:val="18"/>
        </w:rPr>
        <w:t>投资者应得赎回资金（扣除赎回费后）＝</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sz w:val="18"/>
          <w:szCs w:val="18"/>
        </w:rPr>
        <w:t>10</w:t>
      </w:r>
      <w:r>
        <w:rPr>
          <w:rFonts w:hint="eastAsia"/>
          <w:sz w:val="18"/>
          <w:szCs w:val="18"/>
        </w:rPr>
        <w:t>5300</w:t>
      </w:r>
      <w:r>
        <w:rPr>
          <w:rFonts w:hint="eastAsia"/>
          <w:sz w:val="18"/>
          <w:szCs w:val="18"/>
        </w:rPr>
        <w:t>元人民币</w:t>
      </w:r>
    </w:p>
    <w:p w14:paraId="25800394" w14:textId="77777777" w:rsidR="00E859A8" w:rsidRDefault="00D94EFD">
      <w:pPr>
        <w:adjustRightInd w:val="0"/>
        <w:snapToGrid w:val="0"/>
        <w:spacing w:line="286" w:lineRule="auto"/>
        <w:rPr>
          <w:sz w:val="18"/>
          <w:szCs w:val="18"/>
        </w:rPr>
      </w:pPr>
      <w:r>
        <w:rPr>
          <w:rFonts w:hint="eastAsia"/>
          <w:sz w:val="18"/>
          <w:szCs w:val="18"/>
        </w:rPr>
        <w:t>【终止（包括到期终止、提前终止、延期终止）】</w:t>
      </w:r>
    </w:p>
    <w:p w14:paraId="3B161829" w14:textId="0C97AF0E" w:rsidR="00E859A8" w:rsidRDefault="00D94EFD">
      <w:pPr>
        <w:adjustRightInd w:val="0"/>
        <w:snapToGrid w:val="0"/>
        <w:spacing w:line="286" w:lineRule="auto"/>
        <w:rPr>
          <w:bCs/>
          <w:sz w:val="18"/>
          <w:szCs w:val="18"/>
        </w:rPr>
      </w:pPr>
      <w:r>
        <w:rPr>
          <w:rFonts w:hint="eastAsia"/>
          <w:bCs/>
          <w:color w:val="000000"/>
          <w:sz w:val="18"/>
          <w:szCs w:val="18"/>
        </w:rPr>
        <w:t>本产品预计到期终止日为</w:t>
      </w:r>
      <w:r>
        <w:rPr>
          <w:rFonts w:hint="eastAsia"/>
          <w:bCs/>
          <w:color w:val="000000"/>
          <w:sz w:val="18"/>
          <w:szCs w:val="18"/>
        </w:rPr>
        <w:t>2033</w:t>
      </w:r>
      <w:r>
        <w:rPr>
          <w:rFonts w:hint="eastAsia"/>
          <w:bCs/>
          <w:color w:val="000000"/>
          <w:sz w:val="18"/>
          <w:szCs w:val="18"/>
        </w:rPr>
        <w:t>年</w:t>
      </w:r>
      <w:r w:rsidR="006B4521">
        <w:rPr>
          <w:bCs/>
          <w:color w:val="000000"/>
          <w:sz w:val="18"/>
          <w:szCs w:val="18"/>
        </w:rPr>
        <w:t>2</w:t>
      </w:r>
      <w:r>
        <w:rPr>
          <w:rFonts w:hint="eastAsia"/>
          <w:bCs/>
          <w:color w:val="000000"/>
          <w:sz w:val="18"/>
          <w:szCs w:val="18"/>
        </w:rPr>
        <w:t>月</w:t>
      </w:r>
      <w:r w:rsidR="006B4521">
        <w:rPr>
          <w:rFonts w:hint="eastAsia"/>
          <w:bCs/>
          <w:color w:val="000000"/>
          <w:sz w:val="18"/>
          <w:szCs w:val="18"/>
        </w:rPr>
        <w:t>9</w:t>
      </w:r>
      <w:r>
        <w:rPr>
          <w:rFonts w:hint="eastAsia"/>
          <w:bCs/>
          <w:color w:val="000000"/>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59A9BD1A" w14:textId="77777777" w:rsidR="00E859A8" w:rsidRDefault="00D94EFD">
      <w:pPr>
        <w:adjustRightInd w:val="0"/>
        <w:snapToGrid w:val="0"/>
        <w:spacing w:line="286" w:lineRule="auto"/>
        <w:rPr>
          <w:sz w:val="18"/>
          <w:szCs w:val="18"/>
        </w:rPr>
      </w:pPr>
      <w:r>
        <w:rPr>
          <w:rFonts w:hint="eastAsia"/>
          <w:sz w:val="18"/>
          <w:szCs w:val="18"/>
        </w:rPr>
        <w:t>【相关费用】</w:t>
      </w:r>
    </w:p>
    <w:p w14:paraId="5FC870F9"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）理财管理人的固定管理费</w:t>
      </w:r>
    </w:p>
    <w:p w14:paraId="27A2FB31" w14:textId="77777777" w:rsidR="00E859A8" w:rsidRDefault="00D94EFD">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rPr>
        <w:t>0.8%</w:t>
      </w:r>
      <w:r>
        <w:rPr>
          <w:rFonts w:hint="eastAsia"/>
          <w:sz w:val="18"/>
          <w:szCs w:val="18"/>
        </w:rPr>
        <w:t>（最高），计算方法如下：</w:t>
      </w:r>
    </w:p>
    <w:p w14:paraId="328B4E82" w14:textId="77777777" w:rsidR="00E859A8" w:rsidRDefault="00D94EFD">
      <w:pPr>
        <w:adjustRightInd w:val="0"/>
        <w:snapToGrid w:val="0"/>
        <w:spacing w:line="288" w:lineRule="auto"/>
        <w:rPr>
          <w:sz w:val="18"/>
          <w:szCs w:val="18"/>
        </w:rPr>
      </w:pPr>
      <w:r>
        <w:rPr>
          <w:rFonts w:hint="eastAsia"/>
          <w:sz w:val="18"/>
          <w:szCs w:val="18"/>
        </w:rPr>
        <w:t>若本理财产品扣除产品固</w:t>
      </w:r>
      <w:r>
        <w:rPr>
          <w:rFonts w:hint="eastAsia"/>
          <w:sz w:val="18"/>
          <w:szCs w:val="18"/>
        </w:rPr>
        <w:t>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rPr>
        <w:t>0</w:t>
      </w:r>
      <w:r>
        <w:rPr>
          <w:sz w:val="18"/>
          <w:szCs w:val="18"/>
        </w:rPr>
        <w:t>.</w:t>
      </w:r>
      <w:r>
        <w:rPr>
          <w:rFonts w:hint="eastAsia"/>
          <w:sz w:val="18"/>
          <w:szCs w:val="18"/>
        </w:rPr>
        <w:t>8%</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rPr>
        <w:t>0</w:t>
      </w:r>
      <w:r>
        <w:rPr>
          <w:sz w:val="18"/>
          <w:szCs w:val="18"/>
        </w:rPr>
        <w:t>.</w:t>
      </w:r>
      <w:r>
        <w:rPr>
          <w:rFonts w:hint="eastAsia"/>
          <w:sz w:val="18"/>
          <w:szCs w:val="18"/>
        </w:rPr>
        <w:t>8%</w:t>
      </w:r>
      <w:r>
        <w:rPr>
          <w:rFonts w:hint="eastAsia"/>
          <w:sz w:val="18"/>
          <w:szCs w:val="18"/>
        </w:rPr>
        <w:t>（年化）</w:t>
      </w:r>
      <w:r>
        <w:rPr>
          <w:sz w:val="18"/>
          <w:szCs w:val="18"/>
        </w:rPr>
        <w:t>。</w:t>
      </w:r>
      <w:r>
        <w:rPr>
          <w:rFonts w:hint="eastAsia"/>
          <w:sz w:val="18"/>
          <w:szCs w:val="18"/>
        </w:rPr>
        <w:t>计算方法如下：</w:t>
      </w:r>
    </w:p>
    <w:p w14:paraId="254FA48C" w14:textId="77777777" w:rsidR="00E859A8" w:rsidRDefault="00D94EFD">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×固定管理费率÷</w:t>
      </w:r>
      <w:r>
        <w:rPr>
          <w:rFonts w:hint="eastAsia"/>
          <w:sz w:val="18"/>
          <w:szCs w:val="18"/>
        </w:rPr>
        <w:t>365</w:t>
      </w:r>
    </w:p>
    <w:p w14:paraId="7B686818" w14:textId="77777777" w:rsidR="00E859A8" w:rsidRDefault="00D94EFD">
      <w:pPr>
        <w:adjustRightInd w:val="0"/>
        <w:snapToGrid w:val="0"/>
        <w:spacing w:line="286" w:lineRule="auto"/>
        <w:rPr>
          <w:sz w:val="18"/>
          <w:szCs w:val="18"/>
        </w:rPr>
      </w:pPr>
      <w:r>
        <w:rPr>
          <w:rFonts w:hint="eastAsia"/>
          <w:sz w:val="18"/>
          <w:szCs w:val="18"/>
        </w:rPr>
        <w:t>H</w:t>
      </w:r>
      <w:r>
        <w:rPr>
          <w:rFonts w:hint="eastAsia"/>
          <w:sz w:val="18"/>
          <w:szCs w:val="18"/>
        </w:rPr>
        <w:t>为每日应计提的固定管理费</w:t>
      </w:r>
    </w:p>
    <w:p w14:paraId="6F6E6DBB" w14:textId="77777777" w:rsidR="00E859A8" w:rsidRDefault="00D94EFD">
      <w:pPr>
        <w:adjustRightInd w:val="0"/>
        <w:snapToGrid w:val="0"/>
        <w:spacing w:line="286" w:lineRule="auto"/>
        <w:rPr>
          <w:sz w:val="18"/>
          <w:szCs w:val="18"/>
        </w:rPr>
      </w:pPr>
      <w:r>
        <w:rPr>
          <w:rFonts w:hint="eastAsia"/>
          <w:sz w:val="18"/>
          <w:szCs w:val="18"/>
        </w:rPr>
        <w:t>E</w:t>
      </w:r>
      <w:r>
        <w:rPr>
          <w:rFonts w:hint="eastAsia"/>
          <w:sz w:val="18"/>
          <w:szCs w:val="18"/>
        </w:rPr>
        <w:t>为本计划前一日资产净值</w:t>
      </w:r>
    </w:p>
    <w:p w14:paraId="7A749970" w14:textId="77777777" w:rsidR="00E859A8" w:rsidRDefault="00D94EFD">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662F5D4A" w14:textId="77777777" w:rsidR="00E859A8" w:rsidRDefault="00D94EFD">
      <w:pPr>
        <w:adjustRightInd w:val="0"/>
        <w:snapToGrid w:val="0"/>
        <w:spacing w:line="286" w:lineRule="auto"/>
        <w:rPr>
          <w:sz w:val="18"/>
          <w:szCs w:val="18"/>
        </w:rPr>
      </w:pPr>
      <w:r>
        <w:rPr>
          <w:rFonts w:hint="eastAsia"/>
          <w:sz w:val="18"/>
          <w:szCs w:val="18"/>
        </w:rPr>
        <w:t>固定管理费原则上按日计提，逐日累计至每个投</w:t>
      </w:r>
      <w:r>
        <w:rPr>
          <w:rFonts w:hint="eastAsia"/>
          <w:sz w:val="18"/>
          <w:szCs w:val="18"/>
        </w:rPr>
        <w:t>资运作周期到期日从理财计划财产中扣除。</w:t>
      </w:r>
    </w:p>
    <w:p w14:paraId="421AC69C"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）理财托管人的托管费</w:t>
      </w:r>
    </w:p>
    <w:p w14:paraId="184229A3" w14:textId="77777777" w:rsidR="00E859A8" w:rsidRDefault="00D94EFD">
      <w:pPr>
        <w:adjustRightInd w:val="0"/>
        <w:snapToGrid w:val="0"/>
        <w:spacing w:line="286" w:lineRule="auto"/>
        <w:rPr>
          <w:sz w:val="18"/>
          <w:szCs w:val="18"/>
        </w:rPr>
      </w:pPr>
      <w:r>
        <w:rPr>
          <w:rFonts w:hint="eastAsia"/>
          <w:sz w:val="18"/>
          <w:szCs w:val="18"/>
        </w:rPr>
        <w:t>理财计划财产的年托管费率为</w:t>
      </w:r>
      <w:r>
        <w:rPr>
          <w:rFonts w:hint="eastAsia"/>
          <w:sz w:val="18"/>
          <w:szCs w:val="18"/>
        </w:rPr>
        <w:t>0.005%</w:t>
      </w:r>
      <w:r>
        <w:rPr>
          <w:rFonts w:hint="eastAsia"/>
          <w:sz w:val="18"/>
          <w:szCs w:val="18"/>
        </w:rPr>
        <w:t>，计算方法如下：</w:t>
      </w:r>
    </w:p>
    <w:p w14:paraId="3D441953" w14:textId="77777777" w:rsidR="00E859A8" w:rsidRDefault="00D94EFD">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0.005</w:t>
      </w:r>
      <w:r>
        <w:rPr>
          <w:rFonts w:hint="eastAsia"/>
          <w:sz w:val="18"/>
          <w:szCs w:val="18"/>
        </w:rPr>
        <w:t>％÷</w:t>
      </w:r>
      <w:r>
        <w:rPr>
          <w:rFonts w:hint="eastAsia"/>
          <w:sz w:val="18"/>
          <w:szCs w:val="18"/>
        </w:rPr>
        <w:t>365</w:t>
      </w:r>
    </w:p>
    <w:p w14:paraId="788C4716" w14:textId="77777777" w:rsidR="00E859A8" w:rsidRDefault="00D94EFD">
      <w:pPr>
        <w:adjustRightInd w:val="0"/>
        <w:snapToGrid w:val="0"/>
        <w:spacing w:line="286" w:lineRule="auto"/>
        <w:rPr>
          <w:sz w:val="18"/>
          <w:szCs w:val="18"/>
        </w:rPr>
      </w:pPr>
      <w:r>
        <w:rPr>
          <w:rFonts w:hint="eastAsia"/>
          <w:sz w:val="18"/>
          <w:szCs w:val="18"/>
        </w:rPr>
        <w:t>H</w:t>
      </w:r>
      <w:r>
        <w:rPr>
          <w:rFonts w:hint="eastAsia"/>
          <w:sz w:val="18"/>
          <w:szCs w:val="18"/>
        </w:rPr>
        <w:t>为每日应计提的托管费</w:t>
      </w:r>
    </w:p>
    <w:p w14:paraId="38901133" w14:textId="77777777" w:rsidR="00E859A8" w:rsidRDefault="00D94EFD">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为本计划前一自然日资产净值，第一日托管费</w:t>
      </w:r>
      <w:r>
        <w:rPr>
          <w:rFonts w:hint="eastAsia"/>
          <w:sz w:val="18"/>
          <w:szCs w:val="18"/>
        </w:rPr>
        <w:t>=</w:t>
      </w:r>
      <w:r>
        <w:rPr>
          <w:rFonts w:hint="eastAsia"/>
          <w:sz w:val="18"/>
          <w:szCs w:val="18"/>
        </w:rPr>
        <w:t>第一日理财产品本金余额×托管费率÷</w:t>
      </w:r>
      <w:r>
        <w:rPr>
          <w:rFonts w:hint="eastAsia"/>
          <w:sz w:val="18"/>
          <w:szCs w:val="18"/>
        </w:rPr>
        <w:t>365</w:t>
      </w:r>
      <w:r>
        <w:rPr>
          <w:rFonts w:hint="eastAsia"/>
          <w:sz w:val="18"/>
          <w:szCs w:val="18"/>
        </w:rPr>
        <w:t>。</w:t>
      </w:r>
    </w:p>
    <w:p w14:paraId="09F0B543" w14:textId="77777777" w:rsidR="00E859A8" w:rsidRDefault="00D94EFD">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726675BF"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）浮动管理费</w:t>
      </w:r>
    </w:p>
    <w:p w14:paraId="5FC0193F" w14:textId="77777777" w:rsidR="00E859A8" w:rsidRDefault="00D94EFD">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w:t>
      </w:r>
      <w:r>
        <w:rPr>
          <w:rFonts w:hint="eastAsia"/>
          <w:sz w:val="18"/>
          <w:szCs w:val="18"/>
        </w:rPr>
        <w:t>50%</w:t>
      </w:r>
      <w:r>
        <w:rPr>
          <w:rFonts w:hint="eastAsia"/>
          <w:sz w:val="18"/>
          <w:szCs w:val="18"/>
        </w:rPr>
        <w:t>作为浮动管理费；每个投资运作周期累计折合年化收益率若小于或等于业绩比较基准则不收取浮动管理费。</w:t>
      </w:r>
    </w:p>
    <w:p w14:paraId="67955F46"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4</w:t>
      </w:r>
      <w:r>
        <w:rPr>
          <w:rFonts w:hint="eastAsia"/>
          <w:sz w:val="18"/>
          <w:szCs w:val="18"/>
        </w:rPr>
        <w:t>）其他费用（如有）：交易费用（包括但不限于交易佣金、撮合费用等）、理财计划外包估值服务费、理财计划验资费、审计费、律师费、信息披露费、清算费、执行费用等相关费用，具体以实际发生为准。</w:t>
      </w:r>
    </w:p>
    <w:p w14:paraId="6874F504" w14:textId="77777777" w:rsidR="00E859A8" w:rsidRDefault="00D94EFD">
      <w:pPr>
        <w:adjustRightInd w:val="0"/>
        <w:snapToGrid w:val="0"/>
        <w:spacing w:line="286" w:lineRule="auto"/>
        <w:ind w:firstLine="360"/>
        <w:rPr>
          <w:b/>
          <w:sz w:val="18"/>
          <w:szCs w:val="18"/>
        </w:rPr>
      </w:pPr>
      <w:r>
        <w:rPr>
          <w:rFonts w:hint="eastAsia"/>
          <w:b/>
          <w:sz w:val="18"/>
          <w:szCs w:val="18"/>
        </w:rPr>
        <w:t>温州银行有权根据相关法律和</w:t>
      </w:r>
      <w:r>
        <w:rPr>
          <w:rFonts w:hint="eastAsia"/>
          <w:b/>
          <w:sz w:val="18"/>
          <w:szCs w:val="18"/>
        </w:rPr>
        <w:t>国家政策的规定，提前</w:t>
      </w:r>
      <w:r>
        <w:rPr>
          <w:rFonts w:hint="eastAsia"/>
          <w:b/>
          <w:sz w:val="18"/>
          <w:szCs w:val="18"/>
        </w:rPr>
        <w:t>2</w:t>
      </w:r>
      <w:r>
        <w:rPr>
          <w:rFonts w:hint="eastAsia"/>
          <w:b/>
          <w:sz w:val="18"/>
          <w:szCs w:val="18"/>
        </w:rPr>
        <w:t>个工作日发布相关信息，对本理财计划的收费项目、条件、</w:t>
      </w:r>
      <w:r>
        <w:rPr>
          <w:rFonts w:hint="eastAsia"/>
          <w:b/>
          <w:sz w:val="18"/>
          <w:szCs w:val="18"/>
        </w:rPr>
        <w:lastRenderedPageBreak/>
        <w:t>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w:t>
      </w:r>
      <w:r>
        <w:rPr>
          <w:rFonts w:hint="eastAsia"/>
          <w:b/>
          <w:sz w:val="18"/>
          <w:szCs w:val="18"/>
        </w:rPr>
        <w:t>10</w:t>
      </w:r>
      <w:r>
        <w:rPr>
          <w:rFonts w:hint="eastAsia"/>
          <w:b/>
          <w:sz w:val="18"/>
          <w:szCs w:val="18"/>
        </w:rPr>
        <w:t>个工作日内划转至投资者账户。逾期未赎回的，视为同意。</w:t>
      </w:r>
    </w:p>
    <w:p w14:paraId="69E88C91" w14:textId="77777777" w:rsidR="00E859A8" w:rsidRDefault="00D94EFD">
      <w:pPr>
        <w:adjustRightInd w:val="0"/>
        <w:snapToGrid w:val="0"/>
        <w:spacing w:line="286" w:lineRule="auto"/>
        <w:rPr>
          <w:sz w:val="18"/>
          <w:szCs w:val="18"/>
        </w:rPr>
      </w:pPr>
      <w:r>
        <w:rPr>
          <w:rFonts w:hint="eastAsia"/>
          <w:sz w:val="18"/>
          <w:szCs w:val="18"/>
        </w:rPr>
        <w:t>【投资者所得收益】</w:t>
      </w:r>
    </w:p>
    <w:p w14:paraId="19658905" w14:textId="77777777" w:rsidR="00E859A8" w:rsidRDefault="00D94EFD">
      <w:pPr>
        <w:adjustRightInd w:val="0"/>
        <w:snapToGrid w:val="0"/>
        <w:spacing w:line="286" w:lineRule="auto"/>
        <w:rPr>
          <w:sz w:val="18"/>
          <w:szCs w:val="18"/>
        </w:rPr>
      </w:pPr>
      <w:r>
        <w:rPr>
          <w:rFonts w:hint="eastAsia"/>
          <w:sz w:val="18"/>
          <w:szCs w:val="18"/>
        </w:rPr>
        <w:t>1.</w:t>
      </w:r>
      <w:r>
        <w:rPr>
          <w:rFonts w:hint="eastAsia"/>
          <w:sz w:val="18"/>
          <w:szCs w:val="18"/>
        </w:rPr>
        <w:t>分红周期收益分配</w:t>
      </w:r>
    </w:p>
    <w:p w14:paraId="67463F55" w14:textId="192B3A43" w:rsidR="00E859A8" w:rsidRDefault="00D94EFD">
      <w:pPr>
        <w:autoSpaceDN w:val="0"/>
        <w:rPr>
          <w:rFonts w:ascii="宋体" w:hAnsi="宋体"/>
          <w:sz w:val="18"/>
        </w:rPr>
      </w:pPr>
      <w:r>
        <w:rPr>
          <w:rFonts w:ascii="宋体" w:hAnsi="宋体" w:hint="eastAsia"/>
          <w:sz w:val="18"/>
        </w:rPr>
        <w:t>本理财产品按分红周期进行分红，每分红周期为</w:t>
      </w:r>
      <w:r>
        <w:rPr>
          <w:rFonts w:ascii="宋体" w:hAnsi="宋体"/>
          <w:sz w:val="18"/>
        </w:rPr>
        <w:t>【</w:t>
      </w:r>
      <w:r>
        <w:rPr>
          <w:rFonts w:ascii="宋体" w:hAnsi="宋体" w:hint="eastAsia"/>
          <w:sz w:val="18"/>
        </w:rPr>
        <w:t>365</w:t>
      </w:r>
      <w:r>
        <w:rPr>
          <w:rFonts w:ascii="宋体" w:hAnsi="宋体"/>
          <w:sz w:val="18"/>
        </w:rPr>
        <w:t>】天</w:t>
      </w:r>
      <w:r>
        <w:rPr>
          <w:rFonts w:ascii="宋体" w:hAnsi="宋体" w:hint="eastAsia"/>
          <w:sz w:val="18"/>
        </w:rPr>
        <w:t>，在本理财计划存续期内的分红</w:t>
      </w:r>
      <w:r>
        <w:rPr>
          <w:rFonts w:ascii="宋体" w:hAnsi="宋体"/>
          <w:sz w:val="18"/>
        </w:rPr>
        <w:t>周期可能会因非工作日调整大于或小于【</w:t>
      </w:r>
      <w:r>
        <w:rPr>
          <w:rFonts w:ascii="宋体" w:hAnsi="宋体" w:hint="eastAsia"/>
          <w:sz w:val="18"/>
        </w:rPr>
        <w:t>365</w:t>
      </w:r>
      <w:r>
        <w:rPr>
          <w:rFonts w:ascii="宋体" w:hAnsi="宋体"/>
          <w:sz w:val="18"/>
        </w:rPr>
        <w:t>】天</w:t>
      </w:r>
      <w:r>
        <w:rPr>
          <w:rFonts w:ascii="宋体" w:hAnsi="宋体" w:hint="eastAsia"/>
          <w:sz w:val="18"/>
        </w:rPr>
        <w:t>，具体分红日期请参照《温州银行“金鹿理财</w:t>
      </w:r>
      <w:r>
        <w:rPr>
          <w:rFonts w:ascii="宋体" w:hAnsi="宋体" w:hint="eastAsia"/>
          <w:sz w:val="18"/>
        </w:rPr>
        <w:t>-</w:t>
      </w:r>
      <w:r>
        <w:rPr>
          <w:rFonts w:ascii="宋体" w:hAnsi="宋体" w:hint="eastAsia"/>
          <w:sz w:val="18"/>
        </w:rPr>
        <w:t>普惠颐养”</w:t>
      </w:r>
      <w:r w:rsidR="006B4521">
        <w:rPr>
          <w:rFonts w:ascii="宋体" w:hAnsi="宋体"/>
          <w:color w:val="000000"/>
          <w:sz w:val="18"/>
        </w:rPr>
        <w:t>21005号</w:t>
      </w:r>
      <w:r>
        <w:rPr>
          <w:rFonts w:ascii="宋体" w:hAnsi="宋体" w:hint="eastAsia"/>
          <w:sz w:val="18"/>
        </w:rPr>
        <w:t>开放式净值型（第</w:t>
      </w:r>
      <w:r>
        <w:rPr>
          <w:rFonts w:ascii="宋体" w:hAnsi="宋体" w:hint="eastAsia"/>
          <w:sz w:val="18"/>
        </w:rPr>
        <w:t>i</w:t>
      </w:r>
      <w:r>
        <w:rPr>
          <w:rFonts w:ascii="宋体" w:hAnsi="宋体" w:hint="eastAsia"/>
          <w:sz w:val="18"/>
        </w:rPr>
        <w:t>期）银行理财计划开放认购（申购）申请书》所载明的产品要素。</w:t>
      </w:r>
    </w:p>
    <w:p w14:paraId="0CF89AC4" w14:textId="77777777" w:rsidR="00E859A8" w:rsidRDefault="00D94EFD">
      <w:pPr>
        <w:autoSpaceDN w:val="0"/>
        <w:rPr>
          <w:rFonts w:ascii="宋体" w:hAnsi="宋体"/>
          <w:sz w:val="18"/>
        </w:rPr>
      </w:pPr>
      <w:r>
        <w:rPr>
          <w:rFonts w:ascii="宋体" w:hAnsi="宋体" w:hint="eastAsia"/>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w:t>
      </w:r>
      <w:r>
        <w:rPr>
          <w:rFonts w:ascii="宋体" w:hAnsi="宋体" w:hint="eastAsia"/>
          <w:sz w:val="18"/>
        </w:rPr>
        <w:t>0</w:t>
      </w:r>
      <w:r>
        <w:rPr>
          <w:rFonts w:ascii="宋体" w:hAnsi="宋体" w:hint="eastAsia"/>
          <w:sz w:val="18"/>
        </w:rPr>
        <w:t>的，按产品实际投资收益暂行下发；若该投资周</w:t>
      </w:r>
      <w:r>
        <w:rPr>
          <w:rFonts w:ascii="宋体" w:hAnsi="宋体" w:hint="eastAsia"/>
          <w:sz w:val="18"/>
        </w:rPr>
        <w:t>期起始日至分红日期间，扣除托管费、固定管理费及其他费用后，累计产品投资年化收益率小于或等于</w:t>
      </w:r>
      <w:r>
        <w:rPr>
          <w:rFonts w:ascii="宋体" w:hAnsi="宋体" w:hint="eastAsia"/>
          <w:sz w:val="18"/>
        </w:rPr>
        <w:t>0</w:t>
      </w:r>
      <w:r>
        <w:rPr>
          <w:rFonts w:ascii="宋体" w:hAnsi="宋体" w:hint="eastAsia"/>
          <w:sz w:val="18"/>
        </w:rPr>
        <w:t>的，本分红周期暂不进行收益分配。</w:t>
      </w:r>
    </w:p>
    <w:p w14:paraId="3856007C" w14:textId="77777777" w:rsidR="00E859A8" w:rsidRDefault="00D94EFD">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ascii="宋体" w:hAnsi="宋体" w:hint="eastAsia"/>
          <w:sz w:val="18"/>
        </w:rPr>
        <w:t>剩余</w:t>
      </w:r>
      <w:r>
        <w:rPr>
          <w:rFonts w:ascii="宋体" w:hAnsi="宋体"/>
          <w:sz w:val="18"/>
        </w:rPr>
        <w:t>理财</w:t>
      </w:r>
      <w:r>
        <w:rPr>
          <w:rFonts w:ascii="宋体" w:hAnsi="宋体" w:hint="eastAsia"/>
          <w:sz w:val="18"/>
        </w:rPr>
        <w:t>损益分配</w:t>
      </w:r>
    </w:p>
    <w:p w14:paraId="565D6020" w14:textId="77777777" w:rsidR="00E859A8" w:rsidRDefault="00D94EFD">
      <w:pPr>
        <w:adjustRightInd w:val="0"/>
        <w:snapToGrid w:val="0"/>
        <w:spacing w:line="286" w:lineRule="auto"/>
        <w:rPr>
          <w:sz w:val="18"/>
          <w:szCs w:val="18"/>
        </w:rPr>
      </w:pPr>
      <w:r>
        <w:rPr>
          <w:rFonts w:ascii="宋体" w:hAnsi="宋体" w:hint="eastAsia"/>
          <w:sz w:val="18"/>
        </w:rPr>
        <w:t>本理财产品在对应的</w:t>
      </w:r>
      <w:r>
        <w:rPr>
          <w:rFonts w:ascii="宋体" w:hAnsi="宋体"/>
          <w:sz w:val="18"/>
        </w:rPr>
        <w:t>投资周期终止日，</w:t>
      </w:r>
      <w:r>
        <w:rPr>
          <w:rFonts w:ascii="宋体" w:hAnsi="宋体" w:hint="eastAsia"/>
          <w:sz w:val="18"/>
        </w:rPr>
        <w:t>进行</w:t>
      </w:r>
      <w:r>
        <w:rPr>
          <w:rFonts w:ascii="宋体" w:hAnsi="宋体"/>
          <w:sz w:val="18"/>
        </w:rPr>
        <w:t>该投资周期</w:t>
      </w:r>
      <w:r>
        <w:rPr>
          <w:rFonts w:ascii="宋体" w:hAnsi="宋体" w:hint="eastAsia"/>
          <w:sz w:val="18"/>
        </w:rPr>
        <w:t>剩余</w:t>
      </w:r>
      <w:r>
        <w:rPr>
          <w:rFonts w:ascii="宋体" w:hAnsi="宋体"/>
          <w:sz w:val="18"/>
        </w:rPr>
        <w:t>理财收益</w:t>
      </w:r>
      <w:r>
        <w:rPr>
          <w:rFonts w:ascii="宋体" w:hAnsi="宋体" w:hint="eastAsia"/>
          <w:sz w:val="18"/>
        </w:rPr>
        <w:t>清算</w:t>
      </w:r>
      <w:r>
        <w:rPr>
          <w:rFonts w:ascii="宋体" w:hAnsi="宋体"/>
          <w:sz w:val="18"/>
        </w:rPr>
        <w:t>。</w:t>
      </w:r>
      <w:r>
        <w:rPr>
          <w:rFonts w:hint="eastAsia"/>
          <w:sz w:val="18"/>
          <w:szCs w:val="18"/>
        </w:rPr>
        <w:t>具体计算公式如下：</w:t>
      </w:r>
    </w:p>
    <w:p w14:paraId="573D859D" w14:textId="77777777" w:rsidR="00E859A8" w:rsidRDefault="00D94EFD">
      <w:pPr>
        <w:adjustRightInd w:val="0"/>
        <w:snapToGrid w:val="0"/>
        <w:spacing w:line="286" w:lineRule="auto"/>
        <w:rPr>
          <w:sz w:val="18"/>
          <w:szCs w:val="18"/>
        </w:rPr>
      </w:pPr>
      <w:r>
        <w:rPr>
          <w:rFonts w:ascii="宋体" w:hAnsi="宋体"/>
          <w:sz w:val="18"/>
        </w:rPr>
        <w:t>投资周期</w:t>
      </w:r>
      <w:r>
        <w:rPr>
          <w:rFonts w:ascii="宋体" w:hAnsi="宋体" w:hint="eastAsia"/>
          <w:sz w:val="18"/>
        </w:rPr>
        <w:t>剩余</w:t>
      </w:r>
      <w:r>
        <w:rPr>
          <w:rFonts w:ascii="宋体" w:hAnsi="宋体"/>
          <w:sz w:val="18"/>
        </w:rPr>
        <w:t>理财</w:t>
      </w:r>
      <w:r>
        <w:rPr>
          <w:rFonts w:hint="eastAsia"/>
          <w:sz w:val="18"/>
          <w:szCs w:val="18"/>
        </w:rPr>
        <w:t>收益＝认购</w:t>
      </w:r>
      <w:r>
        <w:rPr>
          <w:rFonts w:hint="eastAsia"/>
          <w:sz w:val="18"/>
          <w:szCs w:val="18"/>
        </w:rPr>
        <w:t>/</w:t>
      </w:r>
      <w:r>
        <w:rPr>
          <w:rFonts w:hint="eastAsia"/>
          <w:sz w:val="18"/>
          <w:szCs w:val="18"/>
        </w:rPr>
        <w:t>申购份额×投资运作周期到期日（提前终止日）理财产品累计单位净值—浮动管理费（如有）—本投资运作周期已分红收益（如有）—认购</w:t>
      </w:r>
      <w:r>
        <w:rPr>
          <w:rFonts w:hint="eastAsia"/>
          <w:sz w:val="18"/>
          <w:szCs w:val="18"/>
        </w:rPr>
        <w:t>/</w:t>
      </w:r>
      <w:r>
        <w:rPr>
          <w:rFonts w:hint="eastAsia"/>
          <w:sz w:val="18"/>
          <w:szCs w:val="18"/>
        </w:rPr>
        <w:t>申购金额。</w:t>
      </w:r>
    </w:p>
    <w:p w14:paraId="6E3BB7A4" w14:textId="77777777" w:rsidR="00E859A8" w:rsidRDefault="00D94EFD">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w:t>
      </w:r>
      <w:r>
        <w:rPr>
          <w:rFonts w:hint="eastAsia"/>
          <w:sz w:val="18"/>
          <w:szCs w:val="18"/>
        </w:rPr>
        <w:t>除托管费、固定管理费及其他费用（不含浮动管理费）后，但未扣除已分红收益而计算产生的理财产品累计单位净值。</w:t>
      </w:r>
    </w:p>
    <w:p w14:paraId="04010618" w14:textId="77777777" w:rsidR="00E859A8" w:rsidRDefault="00E859A8">
      <w:pPr>
        <w:adjustRightInd w:val="0"/>
        <w:snapToGrid w:val="0"/>
        <w:spacing w:line="286" w:lineRule="auto"/>
        <w:rPr>
          <w:sz w:val="18"/>
          <w:szCs w:val="18"/>
        </w:rPr>
      </w:pPr>
    </w:p>
    <w:p w14:paraId="36536F68" w14:textId="77777777" w:rsidR="00E859A8" w:rsidRDefault="00D94EFD">
      <w:pPr>
        <w:adjustRightInd w:val="0"/>
        <w:snapToGrid w:val="0"/>
        <w:spacing w:line="286" w:lineRule="auto"/>
        <w:rPr>
          <w:b/>
          <w:sz w:val="18"/>
          <w:szCs w:val="18"/>
        </w:rPr>
      </w:pPr>
      <w:r>
        <w:rPr>
          <w:rFonts w:hint="eastAsia"/>
          <w:b/>
          <w:sz w:val="18"/>
          <w:szCs w:val="18"/>
        </w:rPr>
        <w:t>3.</w:t>
      </w:r>
      <w:r>
        <w:rPr>
          <w:rFonts w:hint="eastAsia"/>
          <w:b/>
          <w:sz w:val="18"/>
          <w:szCs w:val="18"/>
        </w:rPr>
        <w:t>计算示例</w:t>
      </w:r>
    </w:p>
    <w:p w14:paraId="39E5B476" w14:textId="77777777" w:rsidR="00E859A8" w:rsidRDefault="00D94EFD">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14:paraId="5F1065E0" w14:textId="77777777" w:rsidR="00F3631D" w:rsidRDefault="00F3631D" w:rsidP="00F3631D">
      <w:pPr>
        <w:adjustRightInd w:val="0"/>
        <w:snapToGrid w:val="0"/>
        <w:spacing w:line="286" w:lineRule="auto"/>
        <w:rPr>
          <w:rFonts w:hint="eastAsia"/>
          <w:sz w:val="18"/>
          <w:szCs w:val="18"/>
        </w:rPr>
      </w:pPr>
      <w:r>
        <w:rPr>
          <w:rFonts w:hint="eastAsia"/>
          <w:sz w:val="18"/>
          <w:szCs w:val="18"/>
        </w:rPr>
        <w:t>以某客户投资</w:t>
      </w:r>
      <w:r>
        <w:rPr>
          <w:rFonts w:hint="eastAsia"/>
          <w:sz w:val="18"/>
          <w:szCs w:val="18"/>
        </w:rPr>
        <w:t>10</w:t>
      </w:r>
      <w:r>
        <w:rPr>
          <w:rFonts w:hint="eastAsia"/>
          <w:sz w:val="18"/>
          <w:szCs w:val="18"/>
        </w:rPr>
        <w:t>万元为例，购买时产品净值为</w:t>
      </w:r>
      <w:r>
        <w:rPr>
          <w:rFonts w:hint="eastAsia"/>
          <w:sz w:val="18"/>
          <w:szCs w:val="18"/>
        </w:rPr>
        <w:t>1.00</w:t>
      </w:r>
      <w:r>
        <w:rPr>
          <w:rFonts w:hint="eastAsia"/>
          <w:sz w:val="18"/>
          <w:szCs w:val="18"/>
        </w:rPr>
        <w:t>元，折算份额为</w:t>
      </w:r>
      <w:r>
        <w:rPr>
          <w:rFonts w:hint="eastAsia"/>
          <w:sz w:val="18"/>
          <w:szCs w:val="18"/>
        </w:rPr>
        <w:t>100,000.00</w:t>
      </w:r>
      <w:r>
        <w:rPr>
          <w:rFonts w:hint="eastAsia"/>
          <w:sz w:val="18"/>
          <w:szCs w:val="18"/>
        </w:rPr>
        <w:t>份</w:t>
      </w:r>
      <w:r>
        <w:rPr>
          <w:rFonts w:hint="eastAsia"/>
          <w:sz w:val="18"/>
          <w:szCs w:val="18"/>
        </w:rPr>
        <w:t>,</w:t>
      </w:r>
      <w:r>
        <w:rPr>
          <w:rFonts w:hint="eastAsia"/>
          <w:sz w:val="18"/>
          <w:szCs w:val="18"/>
        </w:rPr>
        <w:t>该投资运作周期的理财期限为</w:t>
      </w:r>
      <w:r>
        <w:rPr>
          <w:rFonts w:hint="eastAsia"/>
          <w:sz w:val="18"/>
          <w:szCs w:val="18"/>
        </w:rPr>
        <w:t>1093</w:t>
      </w:r>
      <w:r>
        <w:rPr>
          <w:rFonts w:hint="eastAsia"/>
          <w:sz w:val="18"/>
          <w:szCs w:val="18"/>
        </w:rPr>
        <w:t>天。假设该投资运作周期的产品业绩比较基准为</w:t>
      </w:r>
      <w:r>
        <w:rPr>
          <w:rFonts w:hint="eastAsia"/>
          <w:sz w:val="18"/>
          <w:szCs w:val="18"/>
        </w:rPr>
        <w:t xml:space="preserve"> 4.7% </w:t>
      </w:r>
      <w:r>
        <w:rPr>
          <w:rFonts w:hint="eastAsia"/>
          <w:sz w:val="18"/>
          <w:szCs w:val="18"/>
        </w:rPr>
        <w:t>，该投资运作周期单位累计分红净额</w:t>
      </w:r>
      <w:r>
        <w:rPr>
          <w:rFonts w:hint="eastAsia"/>
          <w:sz w:val="18"/>
          <w:szCs w:val="18"/>
        </w:rPr>
        <w:t>0.097</w:t>
      </w:r>
      <w:r>
        <w:rPr>
          <w:rFonts w:hint="eastAsia"/>
          <w:sz w:val="18"/>
          <w:szCs w:val="18"/>
        </w:rPr>
        <w:t>。投资运作周期到期清算时，扣除托管费、固定管理费后及其他费用</w:t>
      </w:r>
      <w:r w:rsidRPr="0001592B">
        <w:rPr>
          <w:rFonts w:hint="eastAsia"/>
          <w:sz w:val="18"/>
          <w:szCs w:val="18"/>
        </w:rPr>
        <w:t>（不含浮动管理费）</w:t>
      </w:r>
      <w:r>
        <w:rPr>
          <w:rFonts w:hint="eastAsia"/>
          <w:sz w:val="18"/>
          <w:szCs w:val="18"/>
        </w:rPr>
        <w:t>，如产品累计净值为</w:t>
      </w:r>
      <w:r>
        <w:rPr>
          <w:rFonts w:hint="eastAsia"/>
          <w:sz w:val="18"/>
          <w:szCs w:val="18"/>
        </w:rPr>
        <w:t>1.1455</w:t>
      </w:r>
      <w:r>
        <w:rPr>
          <w:rFonts w:hint="eastAsia"/>
          <w:sz w:val="18"/>
          <w:szCs w:val="18"/>
        </w:rPr>
        <w:t>，此时，</w:t>
      </w:r>
      <w:r>
        <w:rPr>
          <w:rFonts w:hint="eastAsia"/>
          <w:sz w:val="18"/>
          <w:szCs w:val="18"/>
        </w:rPr>
        <w:t xml:space="preserve"> (1.1455/1.00-1)</w:t>
      </w:r>
      <w:r>
        <w:rPr>
          <w:rFonts w:hint="eastAsia"/>
          <w:sz w:val="18"/>
          <w:szCs w:val="18"/>
        </w:rPr>
        <w:t>×</w:t>
      </w:r>
      <w:r>
        <w:rPr>
          <w:rFonts w:hint="eastAsia"/>
          <w:sz w:val="18"/>
          <w:szCs w:val="18"/>
        </w:rPr>
        <w:t>365/1093= 4.86%&gt; 4.7%</w:t>
      </w:r>
      <w:r>
        <w:rPr>
          <w:rFonts w:hint="eastAsia"/>
          <w:sz w:val="18"/>
          <w:szCs w:val="18"/>
        </w:rPr>
        <w:t>，即投资收益率超越业绩比较基准，则投资管理人对超过业绩比较基准部分收益收取浮动管理费，浮动管理费为：</w:t>
      </w:r>
      <w:r>
        <w:rPr>
          <w:rFonts w:hint="eastAsia"/>
          <w:sz w:val="18"/>
          <w:szCs w:val="18"/>
        </w:rPr>
        <w:t xml:space="preserve"> 100,000.00</w:t>
      </w:r>
      <w:r>
        <w:rPr>
          <w:rFonts w:hint="eastAsia"/>
          <w:sz w:val="18"/>
          <w:szCs w:val="18"/>
        </w:rPr>
        <w:t>×</w:t>
      </w:r>
      <w:r>
        <w:rPr>
          <w:rFonts w:hint="eastAsia"/>
          <w:sz w:val="18"/>
          <w:szCs w:val="18"/>
        </w:rPr>
        <w:t>[1.1455-1.00</w:t>
      </w:r>
      <w:r>
        <w:rPr>
          <w:rFonts w:hint="eastAsia"/>
          <w:sz w:val="18"/>
          <w:szCs w:val="18"/>
        </w:rPr>
        <w:t>×</w:t>
      </w:r>
      <w:r>
        <w:rPr>
          <w:rFonts w:hint="eastAsia"/>
          <w:sz w:val="18"/>
          <w:szCs w:val="18"/>
        </w:rPr>
        <w:t>(1+ 4.7%</w:t>
      </w:r>
      <w:r>
        <w:rPr>
          <w:rFonts w:hint="eastAsia"/>
          <w:sz w:val="18"/>
          <w:szCs w:val="18"/>
        </w:rPr>
        <w:t>×</w:t>
      </w:r>
      <w:r>
        <w:rPr>
          <w:rFonts w:hint="eastAsia"/>
          <w:sz w:val="18"/>
          <w:szCs w:val="18"/>
        </w:rPr>
        <w:t>1093/365)]</w:t>
      </w:r>
      <w:r>
        <w:rPr>
          <w:rFonts w:hint="eastAsia"/>
          <w:sz w:val="18"/>
          <w:szCs w:val="18"/>
        </w:rPr>
        <w:t>×</w:t>
      </w:r>
      <w:r>
        <w:rPr>
          <w:rFonts w:hint="eastAsia"/>
          <w:sz w:val="18"/>
          <w:szCs w:val="18"/>
        </w:rPr>
        <w:t>50%=237.88</w:t>
      </w:r>
      <w:r>
        <w:rPr>
          <w:rFonts w:hint="eastAsia"/>
          <w:sz w:val="18"/>
          <w:szCs w:val="18"/>
        </w:rPr>
        <w:t>（元）。扣除浮动管理费后，客户</w:t>
      </w:r>
      <w:r>
        <w:rPr>
          <w:rFonts w:ascii="宋体" w:hAnsi="宋体" w:hint="eastAsia"/>
          <w:sz w:val="18"/>
        </w:rPr>
        <w:t>剩余</w:t>
      </w:r>
      <w:r w:rsidRPr="00541381">
        <w:rPr>
          <w:rFonts w:ascii="宋体" w:hAnsi="宋体"/>
          <w:sz w:val="18"/>
        </w:rPr>
        <w:t>理财</w:t>
      </w:r>
      <w:r>
        <w:rPr>
          <w:rFonts w:hint="eastAsia"/>
          <w:sz w:val="18"/>
          <w:szCs w:val="18"/>
        </w:rPr>
        <w:t>收益为：</w:t>
      </w:r>
      <w:r>
        <w:rPr>
          <w:rFonts w:hint="eastAsia"/>
          <w:sz w:val="18"/>
          <w:szCs w:val="18"/>
        </w:rPr>
        <w:t>100,000.00</w:t>
      </w:r>
      <w:r>
        <w:rPr>
          <w:rFonts w:hint="eastAsia"/>
          <w:sz w:val="18"/>
          <w:szCs w:val="18"/>
        </w:rPr>
        <w:t>×（</w:t>
      </w:r>
      <w:r>
        <w:rPr>
          <w:rFonts w:hint="eastAsia"/>
          <w:sz w:val="18"/>
          <w:szCs w:val="18"/>
        </w:rPr>
        <w:t>1.1455-1.00-0.097</w:t>
      </w:r>
      <w:r>
        <w:rPr>
          <w:rFonts w:hint="eastAsia"/>
          <w:sz w:val="18"/>
          <w:szCs w:val="18"/>
        </w:rPr>
        <w:t>）</w:t>
      </w:r>
      <w:r>
        <w:rPr>
          <w:rFonts w:hint="eastAsia"/>
          <w:sz w:val="18"/>
          <w:szCs w:val="18"/>
        </w:rPr>
        <w:t>-237.88=4612.12</w:t>
      </w:r>
      <w:r>
        <w:rPr>
          <w:rFonts w:hint="eastAsia"/>
          <w:sz w:val="18"/>
          <w:szCs w:val="18"/>
        </w:rPr>
        <w:t>（元），产品投资运作周期到期时，客户本周期获得的实际收益相当于达到年化收益率水平为：（</w:t>
      </w:r>
      <w:r>
        <w:rPr>
          <w:rFonts w:hint="eastAsia"/>
          <w:sz w:val="18"/>
          <w:szCs w:val="18"/>
        </w:rPr>
        <w:t>4612.12+100,000.00</w:t>
      </w:r>
      <w:r>
        <w:rPr>
          <w:rFonts w:hint="eastAsia"/>
          <w:sz w:val="18"/>
          <w:szCs w:val="18"/>
        </w:rPr>
        <w:t>×</w:t>
      </w:r>
      <w:r>
        <w:rPr>
          <w:rFonts w:hint="eastAsia"/>
          <w:sz w:val="18"/>
          <w:szCs w:val="18"/>
        </w:rPr>
        <w:t>0.097</w:t>
      </w:r>
      <w:r>
        <w:rPr>
          <w:rFonts w:hint="eastAsia"/>
          <w:sz w:val="18"/>
          <w:szCs w:val="18"/>
        </w:rPr>
        <w:t>）</w:t>
      </w:r>
      <w:r>
        <w:rPr>
          <w:rFonts w:hint="eastAsia"/>
          <w:sz w:val="18"/>
          <w:szCs w:val="18"/>
        </w:rPr>
        <w:t>/100,000.00</w:t>
      </w:r>
      <w:r>
        <w:rPr>
          <w:rFonts w:hint="eastAsia"/>
          <w:sz w:val="18"/>
          <w:szCs w:val="18"/>
        </w:rPr>
        <w:t>×</w:t>
      </w:r>
      <w:r>
        <w:rPr>
          <w:rFonts w:hint="eastAsia"/>
          <w:sz w:val="18"/>
          <w:szCs w:val="18"/>
        </w:rPr>
        <w:t>365/1093=4.78%</w:t>
      </w:r>
      <w:r>
        <w:rPr>
          <w:rFonts w:hint="eastAsia"/>
          <w:sz w:val="18"/>
          <w:szCs w:val="18"/>
        </w:rPr>
        <w:t>。</w:t>
      </w:r>
    </w:p>
    <w:p w14:paraId="132139BD" w14:textId="77777777" w:rsidR="00F3631D" w:rsidRDefault="00F3631D" w:rsidP="00F3631D">
      <w:pPr>
        <w:adjustRightInd w:val="0"/>
        <w:snapToGrid w:val="0"/>
        <w:spacing w:line="286" w:lineRule="auto"/>
        <w:rPr>
          <w:rFonts w:hint="eastAsia"/>
          <w:sz w:val="18"/>
          <w:szCs w:val="18"/>
        </w:rPr>
      </w:pPr>
      <w:r>
        <w:rPr>
          <w:rFonts w:hint="eastAsia"/>
          <w:sz w:val="18"/>
          <w:szCs w:val="18"/>
        </w:rPr>
        <w:t>示例二：扣除托管费、固定管理费及其他费用</w:t>
      </w:r>
      <w:r w:rsidRPr="0001592B">
        <w:rPr>
          <w:rFonts w:hint="eastAsia"/>
          <w:sz w:val="18"/>
          <w:szCs w:val="18"/>
        </w:rPr>
        <w:t>（不含浮动管理费）</w:t>
      </w:r>
      <w:r>
        <w:rPr>
          <w:rFonts w:hint="eastAsia"/>
          <w:sz w:val="18"/>
          <w:szCs w:val="18"/>
        </w:rPr>
        <w:t>后，投资收益率未达到业绩比较基准。</w:t>
      </w:r>
    </w:p>
    <w:p w14:paraId="7CB0C8B2" w14:textId="77777777" w:rsidR="00F3631D" w:rsidRDefault="00F3631D" w:rsidP="00F3631D">
      <w:pPr>
        <w:adjustRightInd w:val="0"/>
        <w:snapToGrid w:val="0"/>
        <w:spacing w:line="286" w:lineRule="auto"/>
        <w:rPr>
          <w:rFonts w:hint="eastAsia"/>
          <w:sz w:val="18"/>
          <w:szCs w:val="18"/>
        </w:rPr>
      </w:pPr>
      <w:r>
        <w:rPr>
          <w:rFonts w:hint="eastAsia"/>
          <w:sz w:val="18"/>
          <w:szCs w:val="18"/>
        </w:rPr>
        <w:t>以某客户投资</w:t>
      </w:r>
      <w:r>
        <w:rPr>
          <w:rFonts w:hint="eastAsia"/>
          <w:sz w:val="18"/>
          <w:szCs w:val="18"/>
        </w:rPr>
        <w:t>10</w:t>
      </w:r>
      <w:r>
        <w:rPr>
          <w:rFonts w:hint="eastAsia"/>
          <w:sz w:val="18"/>
          <w:szCs w:val="18"/>
        </w:rPr>
        <w:t>万元为例，购买时产品净值为</w:t>
      </w:r>
      <w:r>
        <w:rPr>
          <w:rFonts w:hint="eastAsia"/>
          <w:sz w:val="18"/>
          <w:szCs w:val="18"/>
        </w:rPr>
        <w:t>1.00</w:t>
      </w:r>
      <w:r>
        <w:rPr>
          <w:rFonts w:hint="eastAsia"/>
          <w:sz w:val="18"/>
          <w:szCs w:val="18"/>
        </w:rPr>
        <w:t>元，折算份额为</w:t>
      </w:r>
      <w:r>
        <w:rPr>
          <w:rFonts w:hint="eastAsia"/>
          <w:sz w:val="18"/>
          <w:szCs w:val="18"/>
        </w:rPr>
        <w:t>100,000.00</w:t>
      </w:r>
      <w:r>
        <w:rPr>
          <w:rFonts w:hint="eastAsia"/>
          <w:sz w:val="18"/>
          <w:szCs w:val="18"/>
        </w:rPr>
        <w:t>份</w:t>
      </w:r>
      <w:r>
        <w:rPr>
          <w:rFonts w:hint="eastAsia"/>
          <w:sz w:val="18"/>
          <w:szCs w:val="18"/>
        </w:rPr>
        <w:t>,</w:t>
      </w:r>
      <w:r w:rsidRPr="009F35B4">
        <w:rPr>
          <w:rFonts w:hint="eastAsia"/>
          <w:sz w:val="18"/>
          <w:szCs w:val="18"/>
        </w:rPr>
        <w:t xml:space="preserve"> </w:t>
      </w:r>
      <w:r>
        <w:rPr>
          <w:rFonts w:hint="eastAsia"/>
          <w:sz w:val="18"/>
          <w:szCs w:val="18"/>
        </w:rPr>
        <w:t>该投资运作周期的理财期限为</w:t>
      </w:r>
      <w:r>
        <w:rPr>
          <w:rFonts w:hint="eastAsia"/>
          <w:sz w:val="18"/>
          <w:szCs w:val="18"/>
        </w:rPr>
        <w:t xml:space="preserve"> 1093 </w:t>
      </w:r>
      <w:r>
        <w:rPr>
          <w:rFonts w:hint="eastAsia"/>
          <w:sz w:val="18"/>
          <w:szCs w:val="18"/>
        </w:rPr>
        <w:t>天。假设该投资运作周期的业绩比较基准为</w:t>
      </w:r>
      <w:r>
        <w:rPr>
          <w:rFonts w:hint="eastAsia"/>
          <w:sz w:val="18"/>
          <w:szCs w:val="18"/>
        </w:rPr>
        <w:t xml:space="preserve"> 4.7% </w:t>
      </w:r>
      <w:r>
        <w:rPr>
          <w:rFonts w:hint="eastAsia"/>
          <w:sz w:val="18"/>
          <w:szCs w:val="18"/>
        </w:rPr>
        <w:t>，该投资运作周期单位累计分红净额</w:t>
      </w:r>
      <w:r>
        <w:rPr>
          <w:rFonts w:hint="eastAsia"/>
          <w:sz w:val="18"/>
          <w:szCs w:val="18"/>
        </w:rPr>
        <w:t>0.091</w:t>
      </w:r>
      <w:r>
        <w:rPr>
          <w:rFonts w:hint="eastAsia"/>
          <w:sz w:val="18"/>
          <w:szCs w:val="18"/>
        </w:rPr>
        <w:t>。投资运作周期到期清算时，扣除托管费、固定管理费及其他费用</w:t>
      </w:r>
      <w:r w:rsidRPr="0001592B">
        <w:rPr>
          <w:rFonts w:hint="eastAsia"/>
          <w:sz w:val="18"/>
          <w:szCs w:val="18"/>
        </w:rPr>
        <w:t>（不含浮动管理费）</w:t>
      </w:r>
      <w:r>
        <w:rPr>
          <w:rFonts w:hint="eastAsia"/>
          <w:sz w:val="18"/>
          <w:szCs w:val="18"/>
        </w:rPr>
        <w:t>后，如产品净值为</w:t>
      </w:r>
      <w:r>
        <w:rPr>
          <w:rFonts w:hint="eastAsia"/>
          <w:sz w:val="18"/>
          <w:szCs w:val="18"/>
        </w:rPr>
        <w:t>1.1395</w:t>
      </w:r>
      <w:r>
        <w:rPr>
          <w:rFonts w:hint="eastAsia"/>
          <w:sz w:val="18"/>
          <w:szCs w:val="18"/>
        </w:rPr>
        <w:t>，此时，</w:t>
      </w:r>
      <w:r>
        <w:rPr>
          <w:rFonts w:hint="eastAsia"/>
          <w:sz w:val="18"/>
          <w:szCs w:val="18"/>
        </w:rPr>
        <w:t>(1.1395/1.00-1)</w:t>
      </w:r>
      <w:r>
        <w:rPr>
          <w:rFonts w:hint="eastAsia"/>
          <w:sz w:val="18"/>
          <w:szCs w:val="18"/>
        </w:rPr>
        <w:t>×</w:t>
      </w:r>
      <w:r>
        <w:rPr>
          <w:rFonts w:hint="eastAsia"/>
          <w:sz w:val="18"/>
          <w:szCs w:val="18"/>
        </w:rPr>
        <w:t>365/1093=4.66%&lt;4.7%</w:t>
      </w:r>
      <w:r>
        <w:rPr>
          <w:rFonts w:hint="eastAsia"/>
          <w:sz w:val="18"/>
          <w:szCs w:val="18"/>
        </w:rPr>
        <w:t>，即投资收益率未达到业绩比较基准，则投资管理人不收取浮动管理费，客户</w:t>
      </w:r>
      <w:r>
        <w:rPr>
          <w:rFonts w:ascii="宋体" w:hAnsi="宋体" w:hint="eastAsia"/>
          <w:sz w:val="18"/>
        </w:rPr>
        <w:t>剩余</w:t>
      </w:r>
      <w:r w:rsidRPr="00541381">
        <w:rPr>
          <w:rFonts w:ascii="宋体" w:hAnsi="宋体"/>
          <w:sz w:val="18"/>
        </w:rPr>
        <w:t>理财</w:t>
      </w:r>
      <w:r>
        <w:rPr>
          <w:rFonts w:hint="eastAsia"/>
          <w:sz w:val="18"/>
          <w:szCs w:val="18"/>
        </w:rPr>
        <w:t>收益为：</w:t>
      </w:r>
      <w:r>
        <w:rPr>
          <w:rFonts w:hint="eastAsia"/>
          <w:sz w:val="18"/>
          <w:szCs w:val="18"/>
        </w:rPr>
        <w:t>100,000.00</w:t>
      </w:r>
      <w:r>
        <w:rPr>
          <w:rFonts w:hint="eastAsia"/>
          <w:sz w:val="18"/>
          <w:szCs w:val="18"/>
        </w:rPr>
        <w:t>×</w:t>
      </w:r>
      <w:r>
        <w:rPr>
          <w:rFonts w:hint="eastAsia"/>
          <w:sz w:val="18"/>
          <w:szCs w:val="18"/>
        </w:rPr>
        <w:t>(1.1395-1.00-0.091</w:t>
      </w:r>
      <w:r>
        <w:rPr>
          <w:rFonts w:hint="eastAsia"/>
          <w:sz w:val="18"/>
          <w:szCs w:val="18"/>
        </w:rPr>
        <w:t>）</w:t>
      </w:r>
      <w:r>
        <w:rPr>
          <w:rFonts w:hint="eastAsia"/>
          <w:sz w:val="18"/>
          <w:szCs w:val="18"/>
        </w:rPr>
        <w:t>=4,850.00</w:t>
      </w:r>
      <w:r>
        <w:rPr>
          <w:rFonts w:hint="eastAsia"/>
          <w:sz w:val="18"/>
          <w:szCs w:val="18"/>
        </w:rPr>
        <w:t>（元）。产品投资运作周期到期时，客户本周期获得的实际收益相当于达到年化收益率水平为：（</w:t>
      </w:r>
      <w:r>
        <w:rPr>
          <w:rFonts w:hint="eastAsia"/>
          <w:sz w:val="18"/>
          <w:szCs w:val="18"/>
        </w:rPr>
        <w:t>4850+100,000.00</w:t>
      </w:r>
      <w:r>
        <w:rPr>
          <w:rFonts w:hint="eastAsia"/>
          <w:sz w:val="18"/>
          <w:szCs w:val="18"/>
        </w:rPr>
        <w:t>×</w:t>
      </w:r>
      <w:r>
        <w:rPr>
          <w:rFonts w:hint="eastAsia"/>
          <w:sz w:val="18"/>
          <w:szCs w:val="18"/>
        </w:rPr>
        <w:t>0.091</w:t>
      </w:r>
      <w:r>
        <w:rPr>
          <w:rFonts w:hint="eastAsia"/>
          <w:sz w:val="18"/>
          <w:szCs w:val="18"/>
        </w:rPr>
        <w:t>）</w:t>
      </w:r>
      <w:r>
        <w:rPr>
          <w:rFonts w:hint="eastAsia"/>
          <w:sz w:val="18"/>
          <w:szCs w:val="18"/>
        </w:rPr>
        <w:t>/100,000.00</w:t>
      </w:r>
      <w:r>
        <w:rPr>
          <w:rFonts w:hint="eastAsia"/>
          <w:sz w:val="18"/>
          <w:szCs w:val="18"/>
        </w:rPr>
        <w:t>×</w:t>
      </w:r>
      <w:r>
        <w:rPr>
          <w:rFonts w:hint="eastAsia"/>
          <w:sz w:val="18"/>
          <w:szCs w:val="18"/>
        </w:rPr>
        <w:t>365/1093=4.66%</w:t>
      </w:r>
      <w:r>
        <w:rPr>
          <w:rFonts w:hint="eastAsia"/>
          <w:sz w:val="18"/>
          <w:szCs w:val="18"/>
        </w:rPr>
        <w:t>。</w:t>
      </w:r>
    </w:p>
    <w:p w14:paraId="251047FB" w14:textId="77777777" w:rsidR="00F3631D" w:rsidRDefault="00F3631D" w:rsidP="00F3631D">
      <w:pPr>
        <w:adjustRightInd w:val="0"/>
        <w:snapToGrid w:val="0"/>
        <w:spacing w:line="286" w:lineRule="auto"/>
        <w:rPr>
          <w:rFonts w:hint="eastAsia"/>
          <w:sz w:val="18"/>
          <w:szCs w:val="18"/>
        </w:rPr>
      </w:pPr>
      <w:r>
        <w:rPr>
          <w:rFonts w:hint="eastAsia"/>
          <w:sz w:val="18"/>
          <w:szCs w:val="18"/>
        </w:rPr>
        <w:t>示例三：最不利情况，扣除托管费、固定管理费及其他费用</w:t>
      </w:r>
      <w:r w:rsidRPr="0001592B">
        <w:rPr>
          <w:rFonts w:hint="eastAsia"/>
          <w:sz w:val="18"/>
          <w:szCs w:val="18"/>
        </w:rPr>
        <w:t>（不含浮动管理费）</w:t>
      </w:r>
      <w:r>
        <w:rPr>
          <w:rFonts w:hint="eastAsia"/>
          <w:sz w:val="18"/>
          <w:szCs w:val="18"/>
        </w:rPr>
        <w:t>后，投资发生亏损。</w:t>
      </w:r>
    </w:p>
    <w:p w14:paraId="659080E2" w14:textId="1EDF3D2B" w:rsidR="00E859A8" w:rsidRPr="00F3631D" w:rsidRDefault="00F3631D">
      <w:pPr>
        <w:adjustRightInd w:val="0"/>
        <w:snapToGrid w:val="0"/>
        <w:spacing w:line="286" w:lineRule="auto"/>
        <w:rPr>
          <w:sz w:val="18"/>
          <w:szCs w:val="18"/>
        </w:rPr>
      </w:pPr>
      <w:r>
        <w:rPr>
          <w:rFonts w:hint="eastAsia"/>
          <w:sz w:val="18"/>
          <w:szCs w:val="18"/>
        </w:rPr>
        <w:t>以某客户投资</w:t>
      </w:r>
      <w:r>
        <w:rPr>
          <w:rFonts w:hint="eastAsia"/>
          <w:sz w:val="18"/>
          <w:szCs w:val="18"/>
        </w:rPr>
        <w:t>10</w:t>
      </w:r>
      <w:r>
        <w:rPr>
          <w:rFonts w:hint="eastAsia"/>
          <w:sz w:val="18"/>
          <w:szCs w:val="18"/>
        </w:rPr>
        <w:t>万元为例，购买时产品净值为</w:t>
      </w:r>
      <w:r>
        <w:rPr>
          <w:rFonts w:hint="eastAsia"/>
          <w:sz w:val="18"/>
          <w:szCs w:val="18"/>
        </w:rPr>
        <w:t>1.00</w:t>
      </w:r>
      <w:r>
        <w:rPr>
          <w:rFonts w:hint="eastAsia"/>
          <w:sz w:val="18"/>
          <w:szCs w:val="18"/>
        </w:rPr>
        <w:t>元，折算份额为</w:t>
      </w:r>
      <w:r>
        <w:rPr>
          <w:rFonts w:hint="eastAsia"/>
          <w:sz w:val="18"/>
          <w:szCs w:val="18"/>
        </w:rPr>
        <w:t>100,000.00</w:t>
      </w:r>
      <w:r>
        <w:rPr>
          <w:rFonts w:hint="eastAsia"/>
          <w:sz w:val="18"/>
          <w:szCs w:val="18"/>
        </w:rPr>
        <w:t>份，理财期限为</w:t>
      </w:r>
      <w:r>
        <w:rPr>
          <w:rFonts w:hint="eastAsia"/>
          <w:sz w:val="18"/>
          <w:szCs w:val="18"/>
        </w:rPr>
        <w:t>1093</w:t>
      </w:r>
      <w:r>
        <w:rPr>
          <w:rFonts w:hint="eastAsia"/>
          <w:sz w:val="18"/>
          <w:szCs w:val="18"/>
        </w:rPr>
        <w:t>天。假设产品业绩比较基准为</w:t>
      </w:r>
      <w:r>
        <w:rPr>
          <w:rFonts w:hint="eastAsia"/>
          <w:sz w:val="18"/>
          <w:szCs w:val="18"/>
        </w:rPr>
        <w:t>4.7%</w:t>
      </w:r>
      <w:r>
        <w:rPr>
          <w:rFonts w:hint="eastAsia"/>
          <w:sz w:val="18"/>
          <w:szCs w:val="18"/>
        </w:rPr>
        <w:t>，该投资运作周期单位累计分红净额</w:t>
      </w:r>
      <w:r>
        <w:rPr>
          <w:rFonts w:hint="eastAsia"/>
          <w:sz w:val="18"/>
          <w:szCs w:val="18"/>
        </w:rPr>
        <w:t>0.005</w:t>
      </w:r>
      <w:r>
        <w:rPr>
          <w:rFonts w:hint="eastAsia"/>
          <w:sz w:val="18"/>
          <w:szCs w:val="18"/>
        </w:rPr>
        <w:t>。到期时扣除托管费、固定管理费及其他费用</w:t>
      </w:r>
      <w:r w:rsidRPr="0001592B">
        <w:rPr>
          <w:rFonts w:hint="eastAsia"/>
          <w:sz w:val="18"/>
          <w:szCs w:val="18"/>
        </w:rPr>
        <w:t>（不含浮动管理费）</w:t>
      </w:r>
      <w:r>
        <w:rPr>
          <w:rFonts w:hint="eastAsia"/>
          <w:sz w:val="18"/>
          <w:szCs w:val="18"/>
        </w:rPr>
        <w:t>后，如产品净值为</w:t>
      </w:r>
      <w:r>
        <w:rPr>
          <w:rFonts w:hint="eastAsia"/>
          <w:sz w:val="18"/>
          <w:szCs w:val="18"/>
        </w:rPr>
        <w:t>0.998</w:t>
      </w:r>
      <w:r>
        <w:rPr>
          <w:rFonts w:hint="eastAsia"/>
          <w:sz w:val="18"/>
          <w:szCs w:val="18"/>
        </w:rPr>
        <w:t>，则投资管理人不收取浮动管理费，客户最终收益为：</w:t>
      </w:r>
      <w:r>
        <w:rPr>
          <w:rFonts w:hint="eastAsia"/>
          <w:sz w:val="18"/>
          <w:szCs w:val="18"/>
        </w:rPr>
        <w:t>100,000.00</w:t>
      </w:r>
      <w:r>
        <w:rPr>
          <w:rFonts w:hint="eastAsia"/>
          <w:sz w:val="18"/>
          <w:szCs w:val="18"/>
        </w:rPr>
        <w:t>×（</w:t>
      </w:r>
      <w:r>
        <w:rPr>
          <w:rFonts w:hint="eastAsia"/>
          <w:sz w:val="18"/>
          <w:szCs w:val="18"/>
        </w:rPr>
        <w:t>0.998-1.00-0.005</w:t>
      </w:r>
      <w:r>
        <w:rPr>
          <w:rFonts w:hint="eastAsia"/>
          <w:sz w:val="18"/>
          <w:szCs w:val="18"/>
        </w:rPr>
        <w:t>）</w:t>
      </w:r>
      <w:r>
        <w:rPr>
          <w:rFonts w:hint="eastAsia"/>
          <w:sz w:val="18"/>
          <w:szCs w:val="18"/>
        </w:rPr>
        <w:t>=-700.00</w:t>
      </w:r>
      <w:r>
        <w:rPr>
          <w:rFonts w:hint="eastAsia"/>
          <w:sz w:val="18"/>
          <w:szCs w:val="18"/>
        </w:rPr>
        <w:t>（元）。</w:t>
      </w:r>
      <w:bookmarkStart w:id="0" w:name="_GoBack"/>
      <w:bookmarkEnd w:id="0"/>
    </w:p>
    <w:p w14:paraId="73AD5CA7" w14:textId="77777777" w:rsidR="00E859A8" w:rsidRDefault="00D94EFD">
      <w:pPr>
        <w:adjustRightInd w:val="0"/>
        <w:snapToGrid w:val="0"/>
        <w:spacing w:line="286" w:lineRule="auto"/>
        <w:rPr>
          <w:sz w:val="18"/>
          <w:szCs w:val="18"/>
        </w:rPr>
      </w:pPr>
      <w:r>
        <w:rPr>
          <w:rFonts w:hint="eastAsia"/>
          <w:sz w:val="18"/>
          <w:szCs w:val="18"/>
        </w:rPr>
        <w:t>【本金及理财收益风险】</w:t>
      </w:r>
    </w:p>
    <w:p w14:paraId="5CC86ADA" w14:textId="77777777" w:rsidR="00E859A8" w:rsidRDefault="00D94EFD">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0FB81486" w14:textId="77777777" w:rsidR="00E859A8" w:rsidRDefault="00D94EF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w:t>
      </w:r>
      <w:r>
        <w:rPr>
          <w:rFonts w:hint="eastAsia"/>
          <w:sz w:val="18"/>
          <w:szCs w:val="18"/>
        </w:rPr>
        <w:t>险示例</w:t>
      </w:r>
    </w:p>
    <w:p w14:paraId="23F81EAA" w14:textId="77777777" w:rsidR="00E859A8" w:rsidRDefault="00D94EFD">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ascii="宋体" w:hAnsi="宋体" w:hint="eastAsia"/>
          <w:sz w:val="18"/>
          <w:szCs w:val="18"/>
        </w:rPr>
        <w:t>、资本市场</w:t>
      </w:r>
      <w:r>
        <w:rPr>
          <w:rFonts w:ascii="宋体" w:hAnsi="宋体"/>
          <w:sz w:val="18"/>
          <w:szCs w:val="18"/>
        </w:rPr>
        <w:t>变化或波动</w:t>
      </w:r>
      <w:r>
        <w:rPr>
          <w:rFonts w:hint="eastAsia"/>
          <w:sz w:val="18"/>
          <w:szCs w:val="18"/>
        </w:rPr>
        <w:t>，投资管理方投资能力有限等因素的影响。</w:t>
      </w:r>
    </w:p>
    <w:p w14:paraId="00BD2C44" w14:textId="77777777" w:rsidR="00E859A8" w:rsidRDefault="00D94EFD">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w:t>
      </w:r>
      <w:r>
        <w:rPr>
          <w:rFonts w:hint="eastAsia"/>
          <w:sz w:val="18"/>
          <w:szCs w:val="18"/>
        </w:rPr>
        <w:t>客户认购（申购）金额占本产品所有募集资金总额的比例分配已收回的理财资金：若到期投资资产只能收回本金及部</w:t>
      </w:r>
      <w:r>
        <w:rPr>
          <w:rFonts w:hint="eastAsia"/>
          <w:sz w:val="18"/>
          <w:szCs w:val="18"/>
        </w:rPr>
        <w:lastRenderedPageBreak/>
        <w:t>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7457CB45" w14:textId="77777777" w:rsidR="00E859A8" w:rsidRDefault="00D94EFD">
      <w:pPr>
        <w:adjustRightInd w:val="0"/>
        <w:snapToGrid w:val="0"/>
        <w:spacing w:line="286" w:lineRule="auto"/>
        <w:rPr>
          <w:sz w:val="18"/>
          <w:szCs w:val="18"/>
        </w:rPr>
      </w:pPr>
      <w:r>
        <w:rPr>
          <w:rFonts w:hint="eastAsia"/>
          <w:sz w:val="18"/>
          <w:szCs w:val="18"/>
        </w:rPr>
        <w:t>【理财计划提前终止时投资者所得收益】</w:t>
      </w:r>
    </w:p>
    <w:p w14:paraId="671E1A77" w14:textId="77777777" w:rsidR="00E859A8" w:rsidRDefault="00D94EFD">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08EA2B1D" w14:textId="77777777" w:rsidR="00E859A8" w:rsidRDefault="00D94EFD">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14:paraId="1A84AFE2" w14:textId="77777777" w:rsidR="00E859A8" w:rsidRDefault="00D94EFD">
      <w:pPr>
        <w:adjustRightInd w:val="0"/>
        <w:snapToGrid w:val="0"/>
        <w:spacing w:line="286" w:lineRule="auto"/>
        <w:rPr>
          <w:sz w:val="18"/>
          <w:szCs w:val="18"/>
        </w:rPr>
      </w:pPr>
      <w:r>
        <w:rPr>
          <w:rFonts w:hint="eastAsia"/>
          <w:sz w:val="18"/>
          <w:szCs w:val="18"/>
        </w:rPr>
        <w:t>1.</w:t>
      </w:r>
      <w:r>
        <w:rPr>
          <w:rFonts w:hint="eastAsia"/>
          <w:sz w:val="18"/>
          <w:szCs w:val="18"/>
        </w:rPr>
        <w:t>投资者持有本理财计划期间及到期时，温州银行不承诺保证本金安全且不保证理财收益，投资者在到期日的应得收益（如有）随投资盈亏水平浮动。</w:t>
      </w:r>
    </w:p>
    <w:p w14:paraId="6F5C3B5A" w14:textId="77777777" w:rsidR="00E859A8" w:rsidRDefault="00D94EFD">
      <w:pPr>
        <w:adjustRightInd w:val="0"/>
        <w:snapToGrid w:val="0"/>
        <w:spacing w:line="286" w:lineRule="auto"/>
        <w:rPr>
          <w:sz w:val="18"/>
          <w:szCs w:val="18"/>
        </w:rPr>
      </w:pPr>
      <w:r>
        <w:rPr>
          <w:rFonts w:hint="eastAsia"/>
          <w:sz w:val="18"/>
          <w:szCs w:val="18"/>
        </w:rPr>
        <w:t>2</w:t>
      </w:r>
      <w:r>
        <w:rPr>
          <w:sz w:val="18"/>
          <w:szCs w:val="18"/>
        </w:rPr>
        <w:t xml:space="preserve">. </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405DEC1F" w14:textId="77777777" w:rsidR="00E859A8" w:rsidRDefault="00D94EFD">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w:t>
      </w:r>
      <w:r>
        <w:rPr>
          <w:sz w:val="18"/>
          <w:szCs w:val="18"/>
        </w:rPr>
        <w:t>税费（如有）</w:t>
      </w:r>
    </w:p>
    <w:p w14:paraId="6E3847FC" w14:textId="77777777" w:rsidR="00E859A8" w:rsidRDefault="00D94EFD">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002E8FE1" w14:textId="77777777" w:rsidR="00E859A8" w:rsidRDefault="00D94EFD">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w:t>
      </w:r>
      <w:r>
        <w:rPr>
          <w:rFonts w:hint="eastAsia"/>
          <w:sz w:val="18"/>
          <w:szCs w:val="18"/>
        </w:rPr>
        <w:t>现</w:t>
      </w:r>
      <w:r>
        <w:rPr>
          <w:sz w:val="18"/>
          <w:szCs w:val="18"/>
        </w:rPr>
        <w:t>情况下，</w:t>
      </w:r>
      <w:r>
        <w:rPr>
          <w:rFonts w:hint="eastAsia"/>
          <w:sz w:val="18"/>
          <w:szCs w:val="18"/>
        </w:rPr>
        <w:t>理财计划预计到期收益的测算依据和测算方法</w:t>
      </w:r>
    </w:p>
    <w:p w14:paraId="15524BA2" w14:textId="77777777" w:rsidR="00E859A8" w:rsidRDefault="00D94EFD">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w:t>
      </w:r>
      <w:r>
        <w:rPr>
          <w:rFonts w:hint="eastAsia"/>
          <w:sz w:val="18"/>
          <w:szCs w:val="18"/>
        </w:rPr>
        <w:t>-</w:t>
      </w:r>
      <w:r>
        <w:rPr>
          <w:rFonts w:hint="eastAsia"/>
          <w:sz w:val="18"/>
          <w:szCs w:val="18"/>
        </w:rPr>
        <w:t>认购（申购）日单位净值</w:t>
      </w:r>
      <w:r>
        <w:rPr>
          <w:sz w:val="18"/>
          <w:szCs w:val="18"/>
        </w:rPr>
        <w:t>-</w:t>
      </w:r>
      <w:r>
        <w:rPr>
          <w:sz w:val="18"/>
          <w:szCs w:val="18"/>
        </w:rPr>
        <w:t>税费（如有）</w:t>
      </w:r>
    </w:p>
    <w:p w14:paraId="112C55BB" w14:textId="77777777" w:rsidR="00E859A8" w:rsidRDefault="00D94EF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14:paraId="6CE19A8A" w14:textId="77777777" w:rsidR="00E859A8" w:rsidRDefault="00D94EFD">
      <w:pPr>
        <w:adjustRightInd w:val="0"/>
        <w:snapToGrid w:val="0"/>
        <w:spacing w:line="286" w:lineRule="auto"/>
        <w:rPr>
          <w:sz w:val="18"/>
          <w:szCs w:val="18"/>
        </w:rPr>
      </w:pPr>
      <w:r>
        <w:rPr>
          <w:rFonts w:hint="eastAsia"/>
          <w:sz w:val="18"/>
          <w:szCs w:val="18"/>
        </w:rPr>
        <w:t>4</w:t>
      </w:r>
      <w:r>
        <w:rPr>
          <w:rFonts w:hint="eastAsia"/>
          <w:sz w:val="18"/>
          <w:szCs w:val="18"/>
        </w:rPr>
        <w:t>．理财计划在理财计划到期日到期时，如理财计划项下财产全部变现，温州银行在理财计划到期日后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w:t>
      </w:r>
      <w:r>
        <w:rPr>
          <w:rFonts w:hint="eastAsia"/>
          <w:sz w:val="18"/>
          <w:szCs w:val="18"/>
        </w:rPr>
        <w:t>5</w:t>
      </w:r>
      <w:r>
        <w:rPr>
          <w:rFonts w:hint="eastAsia"/>
          <w:sz w:val="18"/>
          <w:szCs w:val="18"/>
        </w:rPr>
        <w:t>日的，温州银行</w:t>
      </w:r>
      <w:r>
        <w:rPr>
          <w:sz w:val="18"/>
          <w:szCs w:val="18"/>
        </w:rPr>
        <w:t>将提前</w:t>
      </w:r>
      <w:r>
        <w:rPr>
          <w:sz w:val="18"/>
          <w:szCs w:val="18"/>
        </w:rPr>
        <w:t>2</w:t>
      </w:r>
      <w:r>
        <w:rPr>
          <w:sz w:val="18"/>
          <w:szCs w:val="18"/>
        </w:rPr>
        <w:t>个工作日</w:t>
      </w:r>
      <w:r>
        <w:rPr>
          <w:rFonts w:hint="eastAsia"/>
          <w:sz w:val="18"/>
          <w:szCs w:val="18"/>
        </w:rPr>
        <w:t>根据约定方式进行</w:t>
      </w:r>
      <w:r>
        <w:rPr>
          <w:sz w:val="18"/>
          <w:szCs w:val="18"/>
        </w:rPr>
        <w:t>信息披露</w:t>
      </w:r>
      <w:r>
        <w:rPr>
          <w:rFonts w:hint="eastAsia"/>
          <w:sz w:val="18"/>
          <w:szCs w:val="18"/>
        </w:rPr>
        <w:t>。</w:t>
      </w:r>
    </w:p>
    <w:p w14:paraId="25F28798" w14:textId="77777777" w:rsidR="00E859A8" w:rsidRDefault="00D94EFD">
      <w:pPr>
        <w:adjustRightInd w:val="0"/>
        <w:snapToGrid w:val="0"/>
        <w:spacing w:line="286" w:lineRule="auto"/>
        <w:rPr>
          <w:sz w:val="18"/>
          <w:szCs w:val="18"/>
        </w:rPr>
      </w:pPr>
      <w:r>
        <w:rPr>
          <w:rFonts w:hint="eastAsia"/>
          <w:sz w:val="18"/>
          <w:szCs w:val="18"/>
        </w:rPr>
        <w:t>5.</w:t>
      </w:r>
      <w:r>
        <w:rPr>
          <w:rFonts w:hint="eastAsia"/>
          <w:sz w:val="18"/>
          <w:szCs w:val="18"/>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w:t>
      </w:r>
      <w:r>
        <w:rPr>
          <w:rFonts w:hint="eastAsia"/>
          <w:sz w:val="18"/>
          <w:szCs w:val="18"/>
        </w:rPr>
        <w:t>10</w:t>
      </w:r>
      <w:r>
        <w:rPr>
          <w:rFonts w:hint="eastAsia"/>
          <w:sz w:val="18"/>
          <w:szCs w:val="18"/>
        </w:rPr>
        <w:t>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644887A4" w14:textId="77777777" w:rsidR="00E859A8" w:rsidRDefault="00D94EFD">
      <w:pPr>
        <w:adjustRightInd w:val="0"/>
        <w:snapToGrid w:val="0"/>
        <w:spacing w:line="286" w:lineRule="auto"/>
        <w:rPr>
          <w:b/>
          <w:sz w:val="18"/>
          <w:szCs w:val="18"/>
        </w:rPr>
      </w:pPr>
      <w:r>
        <w:rPr>
          <w:rFonts w:hint="eastAsia"/>
          <w:b/>
          <w:sz w:val="18"/>
          <w:szCs w:val="18"/>
        </w:rPr>
        <w:t>税费规定</w:t>
      </w:r>
    </w:p>
    <w:p w14:paraId="4D888BF9" w14:textId="77777777" w:rsidR="00E859A8" w:rsidRDefault="00D94EFD">
      <w:pPr>
        <w:adjustRightInd w:val="0"/>
        <w:snapToGrid w:val="0"/>
        <w:spacing w:line="281" w:lineRule="auto"/>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ascii="宋体" w:hAnsi="宋体" w:cs="宋体" w:hint="eastAsia"/>
          <w:kern w:val="0"/>
          <w:sz w:val="18"/>
          <w:szCs w:val="18"/>
        </w:rPr>
        <w:t>,</w:t>
      </w:r>
      <w:r>
        <w:rPr>
          <w:rFonts w:ascii="宋体" w:hAnsi="宋体" w:cs="宋体" w:hint="eastAsia"/>
          <w:kern w:val="0"/>
          <w:sz w:val="18"/>
          <w:szCs w:val="18"/>
        </w:rPr>
        <w:t>将按照相关规定计算应缴纳的税费，</w:t>
      </w:r>
      <w:r>
        <w:rPr>
          <w:rFonts w:ascii="宋体" w:hAnsi="宋体" w:cs="宋体" w:hint="eastAsia"/>
          <w:kern w:val="0"/>
          <w:sz w:val="18"/>
          <w:szCs w:val="18"/>
        </w:rPr>
        <w:t>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0A6EB0CB" w14:textId="77777777" w:rsidR="00E859A8" w:rsidRDefault="00D94EFD">
      <w:pPr>
        <w:widowControl/>
        <w:adjustRightInd w:val="0"/>
        <w:snapToGrid w:val="0"/>
        <w:spacing w:line="286" w:lineRule="auto"/>
        <w:outlineLvl w:val="0"/>
        <w:rPr>
          <w:b/>
          <w:sz w:val="18"/>
          <w:szCs w:val="18"/>
        </w:rPr>
      </w:pPr>
      <w:r>
        <w:rPr>
          <w:rFonts w:hint="eastAsia"/>
          <w:b/>
          <w:sz w:val="18"/>
          <w:szCs w:val="18"/>
        </w:rPr>
        <w:t>风险提示</w:t>
      </w:r>
    </w:p>
    <w:p w14:paraId="53810D59" w14:textId="77777777" w:rsidR="00E859A8" w:rsidRDefault="00D94EFD">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18E9F29D" w14:textId="77777777" w:rsidR="00E859A8" w:rsidRDefault="00D94EFD">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w:t>
      </w:r>
      <w:r>
        <w:rPr>
          <w:rFonts w:hint="eastAsia"/>
          <w:sz w:val="18"/>
          <w:szCs w:val="18"/>
        </w:rPr>
        <w:t>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620D3E5C" w14:textId="77777777" w:rsidR="00E859A8" w:rsidRDefault="00D94EFD">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311E3AA5" w14:textId="77777777" w:rsidR="00E859A8" w:rsidRDefault="00D94EFD">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w:t>
      </w:r>
      <w:r>
        <w:rPr>
          <w:rFonts w:hint="eastAsia"/>
          <w:sz w:val="18"/>
          <w:szCs w:val="18"/>
        </w:rPr>
        <w:t>响理财计划的受理、投资、兑付等的正常进行，甚至导致本理财计划收益降低以及本金损失。</w:t>
      </w:r>
    </w:p>
    <w:p w14:paraId="6FBCA301" w14:textId="77777777" w:rsidR="00E859A8" w:rsidRDefault="00D94EFD">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w:t>
      </w:r>
      <w:r>
        <w:rPr>
          <w:rFonts w:hint="eastAsia"/>
          <w:sz w:val="18"/>
          <w:szCs w:val="18"/>
        </w:rPr>
        <w:t>续期内的每个赎回日，若该赎回日内净赎回份额合计超过理财产品总份额的</w:t>
      </w:r>
      <w:r>
        <w:rPr>
          <w:rFonts w:hint="eastAsia"/>
          <w:sz w:val="18"/>
          <w:szCs w:val="18"/>
        </w:rPr>
        <w:t>20%</w:t>
      </w:r>
      <w:r>
        <w:rPr>
          <w:rFonts w:hint="eastAsia"/>
          <w:sz w:val="18"/>
          <w:szCs w:val="18"/>
        </w:rPr>
        <w:t>，则发生巨额赎回事件，温州银行有权拒绝接受超过</w:t>
      </w:r>
      <w:r>
        <w:rPr>
          <w:rFonts w:hint="eastAsia"/>
          <w:sz w:val="18"/>
          <w:szCs w:val="18"/>
        </w:rPr>
        <w:t>20%</w:t>
      </w:r>
      <w:r>
        <w:rPr>
          <w:rFonts w:hint="eastAsia"/>
          <w:sz w:val="18"/>
          <w:szCs w:val="18"/>
        </w:rPr>
        <w:t>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32C6601D" w14:textId="77777777" w:rsidR="00E859A8" w:rsidRDefault="00D94EFD">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ascii="宋体" w:hAnsi="宋体" w:hint="eastAsia"/>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w:t>
      </w:r>
      <w:r>
        <w:rPr>
          <w:rFonts w:ascii="宋体" w:hAnsi="宋体"/>
          <w:sz w:val="18"/>
          <w:szCs w:val="18"/>
        </w:rPr>
        <w:t>对债券市场</w:t>
      </w:r>
      <w:r>
        <w:rPr>
          <w:rFonts w:ascii="宋体" w:hAnsi="宋体" w:hint="eastAsia"/>
          <w:sz w:val="18"/>
          <w:szCs w:val="18"/>
        </w:rPr>
        <w:t>或证券市场</w:t>
      </w:r>
      <w:r>
        <w:rPr>
          <w:rFonts w:ascii="宋体" w:hAnsi="宋体"/>
          <w:sz w:val="18"/>
          <w:szCs w:val="18"/>
        </w:rPr>
        <w:t>造成不同程度的影响，从而产生市场风险。</w:t>
      </w:r>
      <w:r>
        <w:rPr>
          <w:rFonts w:ascii="宋体" w:hAnsi="宋体"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7F621106" w14:textId="77777777" w:rsidR="00E859A8" w:rsidRDefault="00D94EFD">
      <w:pPr>
        <w:adjustRightInd w:val="0"/>
        <w:snapToGrid w:val="0"/>
        <w:spacing w:line="286" w:lineRule="auto"/>
        <w:rPr>
          <w:rFonts w:ascii="宋体" w:hAnsi="宋体"/>
          <w:sz w:val="18"/>
          <w:szCs w:val="18"/>
        </w:rPr>
      </w:pPr>
      <w:r>
        <w:rPr>
          <w:rFonts w:ascii="宋体" w:hAnsi="宋体" w:hint="eastAsia"/>
          <w:sz w:val="18"/>
          <w:szCs w:val="18"/>
        </w:rPr>
        <w:t>6</w:t>
      </w:r>
      <w:r>
        <w:rPr>
          <w:rFonts w:ascii="宋体" w:hAnsi="宋体" w:hint="eastAsia"/>
          <w:sz w:val="18"/>
          <w:szCs w:val="18"/>
        </w:rPr>
        <w:t>延期风险：如因理财计划所投资的标的资产因信用风险、市场风险等原因造成理财计划不能按时兑付，理财期限将</w:t>
      </w:r>
      <w:r>
        <w:rPr>
          <w:rFonts w:ascii="宋体" w:hAnsi="宋体" w:hint="eastAsia"/>
          <w:sz w:val="18"/>
          <w:szCs w:val="18"/>
        </w:rPr>
        <w:lastRenderedPageBreak/>
        <w:t>相应延长。</w:t>
      </w:r>
    </w:p>
    <w:p w14:paraId="703400DF" w14:textId="77777777" w:rsidR="00E859A8" w:rsidRDefault="00D94EFD">
      <w:pPr>
        <w:adjustRightInd w:val="0"/>
        <w:snapToGrid w:val="0"/>
        <w:spacing w:line="286" w:lineRule="auto"/>
        <w:rPr>
          <w:sz w:val="18"/>
          <w:szCs w:val="18"/>
        </w:rPr>
      </w:pPr>
      <w:r>
        <w:rPr>
          <w:rFonts w:hint="eastAsia"/>
          <w:sz w:val="18"/>
          <w:szCs w:val="18"/>
        </w:rPr>
        <w:t>7</w:t>
      </w:r>
      <w:r>
        <w:rPr>
          <w:rFonts w:hint="eastAsia"/>
          <w:sz w:val="18"/>
          <w:szCs w:val="18"/>
        </w:rPr>
        <w:t>、早偿风险：如温州银行在特定情况下提前终止理财，则投资者可能将无法实现期初预期的全部收益。</w:t>
      </w:r>
    </w:p>
    <w:p w14:paraId="16126838" w14:textId="77777777" w:rsidR="00E859A8" w:rsidRDefault="00D94EFD">
      <w:pPr>
        <w:adjustRightInd w:val="0"/>
        <w:snapToGrid w:val="0"/>
        <w:spacing w:line="286" w:lineRule="auto"/>
        <w:rPr>
          <w:sz w:val="18"/>
          <w:szCs w:val="18"/>
        </w:rPr>
      </w:pPr>
      <w:r>
        <w:rPr>
          <w:rFonts w:ascii="宋体" w:hAnsi="宋体" w:hint="eastAsia"/>
          <w:sz w:val="18"/>
          <w:szCs w:val="18"/>
        </w:rPr>
        <w:t>8</w:t>
      </w:r>
      <w:r>
        <w:rPr>
          <w:rFonts w:ascii="宋体" w:hAnsi="宋体" w:hint="eastAsia"/>
          <w:sz w:val="18"/>
          <w:szCs w:val="18"/>
        </w:rPr>
        <w:t>、</w:t>
      </w:r>
      <w:r>
        <w:rPr>
          <w:rFonts w:ascii="宋体" w:hAnsi="宋体"/>
          <w:sz w:val="18"/>
          <w:szCs w:val="18"/>
        </w:rPr>
        <w:t>信用风险</w:t>
      </w:r>
      <w:r>
        <w:rPr>
          <w:rFonts w:ascii="宋体" w:hAnsi="宋体" w:hint="eastAsia"/>
          <w:sz w:val="18"/>
          <w:szCs w:val="18"/>
        </w:rPr>
        <w:t>：</w:t>
      </w:r>
      <w:r>
        <w:rPr>
          <w:rFonts w:hint="eastAsia"/>
          <w:sz w:val="18"/>
          <w:szCs w:val="18"/>
        </w:rPr>
        <w:t>可能因交易对手违约或者其他原因导致到期投资品种不能得到及时足额清偿，进而造成理财财产损失。</w:t>
      </w:r>
    </w:p>
    <w:p w14:paraId="5B34F3E6" w14:textId="77777777" w:rsidR="00E859A8" w:rsidRDefault="00D94EFD">
      <w:pPr>
        <w:pStyle w:val="af0"/>
        <w:adjustRightInd w:val="0"/>
        <w:snapToGrid w:val="0"/>
        <w:spacing w:line="286" w:lineRule="auto"/>
        <w:ind w:firstLine="0"/>
        <w:rPr>
          <w:rFonts w:ascii="Times New Roman" w:hAnsi="Times New Roman" w:cs="Times New Roman"/>
          <w:kern w:val="2"/>
          <w:sz w:val="18"/>
          <w:szCs w:val="18"/>
        </w:rPr>
      </w:pPr>
      <w:r>
        <w:rPr>
          <w:rFonts w:ascii="宋体" w:hAnsi="宋体" w:hint="eastAsia"/>
          <w:sz w:val="18"/>
          <w:szCs w:val="18"/>
        </w:rPr>
        <w:t>9</w:t>
      </w:r>
      <w:r>
        <w:rPr>
          <w:rFonts w:ascii="Times New Roman" w:hAnsi="Times New Roman" w:cs="Times New Roman" w:hint="eastAsia"/>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197DAA4E" w14:textId="77777777" w:rsidR="00E859A8" w:rsidRDefault="00D94EFD">
      <w:pPr>
        <w:pStyle w:val="af0"/>
        <w:adjustRightInd w:val="0"/>
        <w:snapToGrid w:val="0"/>
        <w:spacing w:line="286" w:lineRule="auto"/>
        <w:ind w:firstLine="0"/>
        <w:rPr>
          <w:sz w:val="18"/>
          <w:szCs w:val="18"/>
        </w:rPr>
      </w:pPr>
      <w:r>
        <w:rPr>
          <w:rFonts w:ascii="宋体" w:hAnsi="宋体" w:hint="eastAsia"/>
          <w:sz w:val="18"/>
          <w:szCs w:val="18"/>
        </w:rPr>
        <w:t>10</w:t>
      </w:r>
      <w:r>
        <w:rPr>
          <w:rFonts w:ascii="宋体" w:hAnsi="宋体" w:hint="eastAsia"/>
          <w:sz w:val="18"/>
          <w:szCs w:val="18"/>
        </w:rPr>
        <w:t>、</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04FB2D75" w14:textId="77777777" w:rsidR="00E859A8" w:rsidRDefault="00D94EFD">
      <w:pPr>
        <w:adjustRightInd w:val="0"/>
        <w:snapToGrid w:val="0"/>
        <w:spacing w:line="286" w:lineRule="auto"/>
        <w:rPr>
          <w:sz w:val="18"/>
          <w:szCs w:val="18"/>
        </w:rPr>
      </w:pPr>
      <w:r>
        <w:rPr>
          <w:rFonts w:hint="eastAsia"/>
          <w:sz w:val="18"/>
          <w:szCs w:val="18"/>
        </w:rPr>
        <w:t>11</w:t>
      </w:r>
      <w:r>
        <w:rPr>
          <w:rFonts w:hint="eastAsia"/>
          <w:sz w:val="18"/>
          <w:szCs w:val="18"/>
        </w:rPr>
        <w:t>、信息传递风险：温州银行按照本</w:t>
      </w:r>
      <w:r>
        <w:rPr>
          <w:rFonts w:hint="eastAsia"/>
          <w:sz w:val="18"/>
          <w:szCs w:val="18"/>
        </w:rPr>
        <w:t>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w:t>
      </w:r>
      <w:r>
        <w:rPr>
          <w:rFonts w:hint="eastAsia"/>
          <w:sz w:val="18"/>
          <w:szCs w:val="18"/>
        </w:rPr>
        <w:t>联系上，并可能会由此影响投资者的投资决策，由此而产生的责任和风险由投资者自行承担。</w:t>
      </w:r>
      <w:r>
        <w:rPr>
          <w:sz w:val="18"/>
          <w:szCs w:val="18"/>
        </w:rPr>
        <w:t xml:space="preserve"> </w:t>
      </w:r>
    </w:p>
    <w:p w14:paraId="330BA10B" w14:textId="77777777" w:rsidR="00E859A8" w:rsidRDefault="00D94EFD">
      <w:pPr>
        <w:adjustRightInd w:val="0"/>
        <w:snapToGrid w:val="0"/>
        <w:spacing w:line="286" w:lineRule="auto"/>
        <w:rPr>
          <w:sz w:val="18"/>
          <w:szCs w:val="18"/>
        </w:rPr>
      </w:pPr>
      <w:r>
        <w:rPr>
          <w:rFonts w:hint="eastAsia"/>
          <w:sz w:val="18"/>
          <w:szCs w:val="18"/>
        </w:rPr>
        <w:t>12</w:t>
      </w:r>
      <w:r>
        <w:rPr>
          <w:rFonts w:hint="eastAsia"/>
          <w:sz w:val="18"/>
          <w:szCs w:val="18"/>
        </w:rPr>
        <w:t>、其他风险：由于自然灾害、战争等不可抗力因素的出现，或</w:t>
      </w:r>
      <w:r>
        <w:rPr>
          <w:rFonts w:hint="eastAsia"/>
          <w:sz w:val="18"/>
          <w:szCs w:val="18"/>
        </w:rPr>
        <w:t>IT</w:t>
      </w:r>
      <w:r>
        <w:rPr>
          <w:rFonts w:hint="eastAsia"/>
          <w:sz w:val="18"/>
          <w:szCs w:val="18"/>
        </w:rPr>
        <w:t>系统故障、通讯系统故障、电力系统故障、投资市场停止交易等原因，可能导致理财资产收益降低或损失，甚至影响理财计划的受理、投资、兑付等的正常进行。</w:t>
      </w:r>
    </w:p>
    <w:p w14:paraId="602DFE08" w14:textId="77777777" w:rsidR="00E859A8" w:rsidRDefault="00D94EFD">
      <w:pPr>
        <w:adjustRightInd w:val="0"/>
        <w:snapToGrid w:val="0"/>
        <w:spacing w:line="286" w:lineRule="auto"/>
        <w:rPr>
          <w:sz w:val="18"/>
          <w:szCs w:val="18"/>
        </w:rPr>
      </w:pPr>
      <w:r>
        <w:rPr>
          <w:rFonts w:ascii="宋体" w:hAnsi="宋体" w:hint="eastAsia"/>
          <w:b/>
          <w:sz w:val="18"/>
          <w:szCs w:val="18"/>
        </w:rPr>
        <w:t>风险监测和控制措施：</w:t>
      </w:r>
    </w:p>
    <w:p w14:paraId="5F776D58" w14:textId="77777777" w:rsidR="00E859A8" w:rsidRDefault="00D94EFD">
      <w:pPr>
        <w:adjustRightInd w:val="0"/>
        <w:snapToGrid w:val="0"/>
        <w:spacing w:line="286" w:lineRule="auto"/>
        <w:rPr>
          <w:rFonts w:ascii="宋体" w:hAnsi="宋体"/>
          <w:sz w:val="18"/>
          <w:szCs w:val="18"/>
        </w:rPr>
      </w:pPr>
      <w:r>
        <w:rPr>
          <w:rFonts w:ascii="宋体" w:hAnsi="宋体"/>
          <w:sz w:val="18"/>
          <w:szCs w:val="18"/>
        </w:rPr>
        <w:t>针对</w:t>
      </w:r>
      <w:r>
        <w:rPr>
          <w:rFonts w:ascii="宋体" w:hAnsi="宋体" w:hint="eastAsia"/>
          <w:sz w:val="18"/>
          <w:szCs w:val="18"/>
        </w:rPr>
        <w:t>上述</w:t>
      </w:r>
      <w:r>
        <w:rPr>
          <w:rFonts w:ascii="宋体" w:hAnsi="宋体"/>
          <w:sz w:val="18"/>
          <w:szCs w:val="18"/>
        </w:rPr>
        <w:t>提及的风险，</w:t>
      </w:r>
      <w:r>
        <w:rPr>
          <w:rFonts w:ascii="宋体" w:hAnsi="宋体" w:hint="eastAsia"/>
          <w:sz w:val="18"/>
          <w:szCs w:val="18"/>
        </w:rPr>
        <w:t>温州银行</w:t>
      </w:r>
      <w:r>
        <w:rPr>
          <w:rFonts w:ascii="宋体" w:hAnsi="宋体"/>
          <w:sz w:val="18"/>
          <w:szCs w:val="18"/>
        </w:rPr>
        <w:t>将采取以下措施防范和控制风险，但并不保证以下措施可以覆盖和排除在管理本</w:t>
      </w:r>
      <w:r>
        <w:rPr>
          <w:rFonts w:ascii="宋体" w:hAnsi="宋体" w:hint="eastAsia"/>
          <w:sz w:val="18"/>
          <w:szCs w:val="18"/>
        </w:rPr>
        <w:t>产品</w:t>
      </w:r>
      <w:r>
        <w:rPr>
          <w:rFonts w:ascii="宋体" w:hAnsi="宋体"/>
          <w:sz w:val="18"/>
          <w:szCs w:val="18"/>
        </w:rPr>
        <w:t>过程中所可能涉及的全部风险</w:t>
      </w:r>
      <w:r>
        <w:rPr>
          <w:rFonts w:ascii="宋体" w:hAnsi="宋体" w:hint="eastAsia"/>
          <w:sz w:val="18"/>
          <w:szCs w:val="18"/>
        </w:rPr>
        <w:t>：</w:t>
      </w:r>
    </w:p>
    <w:p w14:paraId="03AAAD27" w14:textId="77777777" w:rsidR="00E859A8" w:rsidRDefault="00D94EFD">
      <w:pPr>
        <w:adjustRightInd w:val="0"/>
        <w:snapToGrid w:val="0"/>
        <w:spacing w:line="286" w:lineRule="auto"/>
        <w:rPr>
          <w:rFonts w:ascii="宋体" w:hAnsi="宋体"/>
          <w:sz w:val="18"/>
          <w:szCs w:val="18"/>
        </w:rPr>
      </w:pPr>
      <w:r>
        <w:rPr>
          <w:rFonts w:ascii="宋体" w:hAnsi="宋体" w:hint="eastAsia"/>
          <w:sz w:val="18"/>
          <w:szCs w:val="18"/>
        </w:rPr>
        <w:t>1</w:t>
      </w:r>
      <w:r>
        <w:rPr>
          <w:rFonts w:ascii="宋体" w:hAnsi="宋体" w:hint="eastAsia"/>
          <w:sz w:val="18"/>
          <w:szCs w:val="18"/>
        </w:rPr>
        <w:t>、市场风险的管控措施：温州银行将密切注意国家政策变化、经济周期、利率变化、通货膨胀等对相关投资品种的影响，及时合理配置资产，以降低市场风险可能使理财财产遭受的损失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45C15F06" w14:textId="77777777" w:rsidR="00E859A8" w:rsidRDefault="00D94EFD">
      <w:pPr>
        <w:adjustRightInd w:val="0"/>
        <w:snapToGrid w:val="0"/>
        <w:spacing w:line="286" w:lineRule="auto"/>
        <w:rPr>
          <w:rFonts w:ascii="宋体" w:hAnsi="宋体"/>
          <w:sz w:val="18"/>
          <w:szCs w:val="18"/>
        </w:rPr>
      </w:pPr>
      <w:r>
        <w:rPr>
          <w:rFonts w:ascii="宋体" w:hAnsi="宋体" w:hint="eastAsia"/>
          <w:sz w:val="18"/>
          <w:szCs w:val="18"/>
        </w:rPr>
        <w:t>2</w:t>
      </w:r>
      <w:r>
        <w:rPr>
          <w:rFonts w:ascii="宋体" w:hAnsi="宋体" w:hint="eastAsia"/>
          <w:sz w:val="18"/>
          <w:szCs w:val="18"/>
        </w:rPr>
        <w:t>、管理风险的管控措施：温州银行</w:t>
      </w:r>
      <w:r>
        <w:rPr>
          <w:rFonts w:ascii="宋体" w:hAnsi="宋体"/>
          <w:sz w:val="18"/>
          <w:szCs w:val="18"/>
        </w:rPr>
        <w:t>将加强内部管理，恪尽职守，</w:t>
      </w:r>
      <w:r>
        <w:rPr>
          <w:rFonts w:ascii="宋体" w:hAnsi="宋体" w:hint="eastAsia"/>
          <w:sz w:val="18"/>
          <w:szCs w:val="18"/>
        </w:rPr>
        <w:t>督促合作机构</w:t>
      </w:r>
      <w:r>
        <w:rPr>
          <w:rFonts w:ascii="宋体" w:hAnsi="宋体"/>
          <w:sz w:val="18"/>
          <w:szCs w:val="18"/>
        </w:rPr>
        <w:t>加强对信息的采集和科学的分析，力争降低因</w:t>
      </w:r>
      <w:r>
        <w:rPr>
          <w:rFonts w:ascii="宋体" w:hAnsi="宋体" w:hint="eastAsia"/>
          <w:sz w:val="18"/>
          <w:szCs w:val="18"/>
        </w:rPr>
        <w:t>其</w:t>
      </w:r>
      <w:r>
        <w:rPr>
          <w:rFonts w:ascii="宋体" w:hAnsi="宋体"/>
          <w:sz w:val="18"/>
          <w:szCs w:val="18"/>
        </w:rPr>
        <w:t>管理不当而对</w:t>
      </w:r>
      <w:r>
        <w:rPr>
          <w:rFonts w:ascii="宋体" w:hAnsi="宋体" w:hint="eastAsia"/>
          <w:sz w:val="18"/>
          <w:szCs w:val="18"/>
        </w:rPr>
        <w:t>理财</w:t>
      </w:r>
      <w:r>
        <w:rPr>
          <w:rFonts w:ascii="宋体" w:hAnsi="宋体"/>
          <w:sz w:val="18"/>
          <w:szCs w:val="18"/>
        </w:rPr>
        <w:t>财产</w:t>
      </w:r>
      <w:r>
        <w:rPr>
          <w:rFonts w:ascii="宋体" w:hAnsi="宋体" w:hint="eastAsia"/>
          <w:sz w:val="18"/>
          <w:szCs w:val="18"/>
        </w:rPr>
        <w:t>造成的</w:t>
      </w:r>
      <w:r>
        <w:rPr>
          <w:rFonts w:ascii="宋体" w:hAnsi="宋体"/>
          <w:sz w:val="18"/>
          <w:szCs w:val="18"/>
        </w:rPr>
        <w:t>损失</w:t>
      </w:r>
      <w:r>
        <w:rPr>
          <w:rFonts w:ascii="宋体" w:hAnsi="宋体" w:hint="eastAsia"/>
          <w:sz w:val="18"/>
          <w:szCs w:val="18"/>
        </w:rPr>
        <w:t>。</w:t>
      </w:r>
    </w:p>
    <w:p w14:paraId="26674951" w14:textId="77777777" w:rsidR="00E859A8" w:rsidRDefault="00D94EFD">
      <w:pPr>
        <w:adjustRightInd w:val="0"/>
        <w:snapToGrid w:val="0"/>
        <w:spacing w:line="286" w:lineRule="auto"/>
        <w:rPr>
          <w:rFonts w:ascii="宋体" w:hAnsi="宋体"/>
          <w:sz w:val="18"/>
          <w:szCs w:val="18"/>
        </w:rPr>
      </w:pPr>
      <w:r>
        <w:rPr>
          <w:rFonts w:ascii="宋体" w:hAnsi="宋体" w:hint="eastAsia"/>
          <w:sz w:val="18"/>
          <w:szCs w:val="18"/>
        </w:rPr>
        <w:t>3</w:t>
      </w:r>
      <w:r>
        <w:rPr>
          <w:rFonts w:ascii="宋体" w:hAnsi="宋体" w:hint="eastAsia"/>
          <w:sz w:val="18"/>
          <w:szCs w:val="18"/>
        </w:rPr>
        <w:t>、法律风险的管控措施：温州银行将严格按照法律法规的要求履行自己的责任和义务。</w:t>
      </w:r>
    </w:p>
    <w:p w14:paraId="63745D9F" w14:textId="77777777" w:rsidR="00E859A8" w:rsidRDefault="00D94EFD">
      <w:pPr>
        <w:adjustRightInd w:val="0"/>
        <w:snapToGrid w:val="0"/>
        <w:spacing w:line="286" w:lineRule="auto"/>
        <w:rPr>
          <w:rFonts w:ascii="宋体" w:hAnsi="宋体"/>
          <w:sz w:val="18"/>
          <w:szCs w:val="18"/>
        </w:rPr>
      </w:pPr>
      <w:r>
        <w:rPr>
          <w:rFonts w:ascii="宋体" w:hAnsi="宋体" w:hint="eastAsia"/>
          <w:sz w:val="18"/>
          <w:szCs w:val="18"/>
        </w:rPr>
        <w:t>4</w:t>
      </w:r>
      <w:r>
        <w:rPr>
          <w:rFonts w:ascii="宋体" w:hAnsi="宋体" w:hint="eastAsia"/>
          <w:sz w:val="18"/>
          <w:szCs w:val="18"/>
        </w:rPr>
        <w:t>、政策风险、</w:t>
      </w:r>
      <w:r>
        <w:rPr>
          <w:rFonts w:hint="eastAsia"/>
          <w:sz w:val="18"/>
          <w:szCs w:val="18"/>
        </w:rPr>
        <w:t>早偿风险、理财产品不成立风险和</w:t>
      </w:r>
      <w:r>
        <w:rPr>
          <w:rFonts w:ascii="宋体" w:hAnsi="宋体"/>
          <w:sz w:val="18"/>
          <w:szCs w:val="18"/>
        </w:rPr>
        <w:t>其他风险</w:t>
      </w:r>
      <w:r>
        <w:rPr>
          <w:rFonts w:ascii="宋体" w:hAnsi="宋体" w:hint="eastAsia"/>
          <w:sz w:val="18"/>
          <w:szCs w:val="18"/>
        </w:rPr>
        <w:t>的管控措施：温州银行</w:t>
      </w:r>
      <w:r>
        <w:rPr>
          <w:rFonts w:ascii="宋体" w:hAnsi="宋体"/>
          <w:sz w:val="18"/>
          <w:szCs w:val="18"/>
        </w:rPr>
        <w:t>将坚持</w:t>
      </w:r>
      <w:r>
        <w:rPr>
          <w:rFonts w:ascii="宋体" w:hAnsi="宋体" w:hint="eastAsia"/>
          <w:sz w:val="18"/>
          <w:szCs w:val="18"/>
        </w:rPr>
        <w:t>理财财产利益</w:t>
      </w:r>
      <w:r>
        <w:rPr>
          <w:rFonts w:ascii="宋体" w:hAnsi="宋体"/>
          <w:sz w:val="18"/>
          <w:szCs w:val="18"/>
        </w:rPr>
        <w:t>最大化的原则，严格履行自己应</w:t>
      </w:r>
      <w:r>
        <w:rPr>
          <w:rFonts w:ascii="宋体" w:hAnsi="宋体"/>
          <w:sz w:val="18"/>
          <w:szCs w:val="18"/>
        </w:rPr>
        <w:t>尽的义务，不断分析潜在的风险，努力防范和化解可能出现的风险，维护</w:t>
      </w:r>
      <w:r>
        <w:rPr>
          <w:rFonts w:ascii="宋体" w:hAnsi="宋体" w:hint="eastAsia"/>
          <w:sz w:val="18"/>
          <w:szCs w:val="18"/>
        </w:rPr>
        <w:t>理财财产的</w:t>
      </w:r>
      <w:r>
        <w:rPr>
          <w:rFonts w:ascii="宋体" w:hAnsi="宋体"/>
          <w:sz w:val="18"/>
          <w:szCs w:val="18"/>
        </w:rPr>
        <w:t>利益。</w:t>
      </w:r>
    </w:p>
    <w:p w14:paraId="02389B9F" w14:textId="77777777" w:rsidR="00E859A8" w:rsidRDefault="00D94EFD">
      <w:pPr>
        <w:adjustRightInd w:val="0"/>
        <w:snapToGrid w:val="0"/>
        <w:spacing w:line="286" w:lineRule="auto"/>
        <w:rPr>
          <w:b/>
          <w:sz w:val="18"/>
          <w:szCs w:val="18"/>
        </w:rPr>
      </w:pPr>
      <w:r>
        <w:rPr>
          <w:rFonts w:hint="eastAsia"/>
          <w:b/>
          <w:sz w:val="18"/>
          <w:szCs w:val="18"/>
        </w:rPr>
        <w:t>信息公告</w:t>
      </w:r>
    </w:p>
    <w:p w14:paraId="50B6C3BB" w14:textId="77777777" w:rsidR="00E859A8" w:rsidRDefault="00D94EFD">
      <w:pPr>
        <w:adjustRightInd w:val="0"/>
        <w:snapToGrid w:val="0"/>
        <w:spacing w:line="286" w:lineRule="auto"/>
        <w:rPr>
          <w:sz w:val="18"/>
          <w:szCs w:val="18"/>
        </w:rPr>
      </w:pPr>
      <w:r>
        <w:rPr>
          <w:rFonts w:hint="eastAsia"/>
          <w:sz w:val="18"/>
          <w:szCs w:val="18"/>
        </w:rPr>
        <w:t>1</w:t>
      </w:r>
      <w:r>
        <w:rPr>
          <w:rFonts w:hint="eastAsia"/>
          <w:sz w:val="18"/>
          <w:szCs w:val="18"/>
        </w:rPr>
        <w:t>、发行公告：温州银行将在本产品成立之日后</w:t>
      </w:r>
      <w:r>
        <w:rPr>
          <w:rFonts w:hint="eastAsia"/>
          <w:sz w:val="18"/>
          <w:szCs w:val="18"/>
        </w:rPr>
        <w:t>5</w:t>
      </w:r>
      <w:r>
        <w:rPr>
          <w:rFonts w:hint="eastAsia"/>
          <w:sz w:val="18"/>
          <w:szCs w:val="18"/>
        </w:rPr>
        <w:t>个工作日内披露发行公告，包括理财产品成立日期和募集规模等信息。</w:t>
      </w:r>
    </w:p>
    <w:p w14:paraId="0E7FB3C8" w14:textId="77777777" w:rsidR="00E859A8" w:rsidRDefault="00D94EFD">
      <w:pPr>
        <w:adjustRightInd w:val="0"/>
        <w:snapToGrid w:val="0"/>
        <w:spacing w:line="286" w:lineRule="auto"/>
        <w:rPr>
          <w:sz w:val="18"/>
          <w:szCs w:val="18"/>
        </w:rPr>
      </w:pPr>
      <w:r>
        <w:rPr>
          <w:rFonts w:hint="eastAsia"/>
          <w:sz w:val="18"/>
          <w:szCs w:val="18"/>
        </w:rPr>
        <w:t>2</w:t>
      </w:r>
      <w:r>
        <w:rPr>
          <w:rFonts w:hint="eastAsia"/>
          <w:sz w:val="18"/>
          <w:szCs w:val="18"/>
        </w:rPr>
        <w:t>、定期公告：</w:t>
      </w:r>
    </w:p>
    <w:p w14:paraId="5420B7C7" w14:textId="77777777" w:rsidR="00E859A8" w:rsidRDefault="00D94EFD">
      <w:pPr>
        <w:adjustRightInd w:val="0"/>
        <w:snapToGrid w:val="0"/>
        <w:spacing w:line="286" w:lineRule="auto"/>
        <w:rPr>
          <w:sz w:val="18"/>
          <w:szCs w:val="18"/>
        </w:rPr>
      </w:pPr>
      <w:r>
        <w:rPr>
          <w:rFonts w:hint="eastAsia"/>
          <w:sz w:val="18"/>
          <w:szCs w:val="18"/>
        </w:rPr>
        <w:t>温州银行将在每个季度结束之日起</w:t>
      </w:r>
      <w:r>
        <w:rPr>
          <w:rFonts w:hint="eastAsia"/>
          <w:sz w:val="18"/>
          <w:szCs w:val="18"/>
        </w:rPr>
        <w:t>15</w:t>
      </w:r>
      <w:r>
        <w:rPr>
          <w:rFonts w:hint="eastAsia"/>
          <w:sz w:val="18"/>
          <w:szCs w:val="18"/>
        </w:rPr>
        <w:t>个工作日内、上半年结束之日起</w:t>
      </w:r>
      <w:r>
        <w:rPr>
          <w:rFonts w:hint="eastAsia"/>
          <w:sz w:val="18"/>
          <w:szCs w:val="18"/>
        </w:rPr>
        <w:t>60</w:t>
      </w:r>
      <w:r>
        <w:rPr>
          <w:rFonts w:hint="eastAsia"/>
          <w:sz w:val="18"/>
          <w:szCs w:val="18"/>
        </w:rPr>
        <w:t>个工作日内、每半年结束之日起</w:t>
      </w:r>
      <w:r>
        <w:rPr>
          <w:rFonts w:hint="eastAsia"/>
          <w:sz w:val="18"/>
          <w:szCs w:val="18"/>
        </w:rPr>
        <w:t>90</w:t>
      </w:r>
      <w:r>
        <w:rPr>
          <w:rFonts w:hint="eastAsia"/>
          <w:sz w:val="18"/>
          <w:szCs w:val="18"/>
        </w:rPr>
        <w:t>个工作日内，编制完成理财产品的季度、半年度和年度报告等定期报告。理财产品成立不足</w:t>
      </w:r>
      <w:r>
        <w:rPr>
          <w:rFonts w:hint="eastAsia"/>
          <w:sz w:val="18"/>
          <w:szCs w:val="18"/>
        </w:rPr>
        <w:t>90</w:t>
      </w:r>
      <w:r>
        <w:rPr>
          <w:rFonts w:hint="eastAsia"/>
          <w:sz w:val="18"/>
          <w:szCs w:val="18"/>
        </w:rPr>
        <w:t>个工作日或者剩余存续期不超过</w:t>
      </w:r>
      <w:r>
        <w:rPr>
          <w:rFonts w:hint="eastAsia"/>
          <w:sz w:val="18"/>
          <w:szCs w:val="18"/>
        </w:rPr>
        <w:t>90</w:t>
      </w:r>
      <w:r>
        <w:rPr>
          <w:rFonts w:hint="eastAsia"/>
          <w:sz w:val="18"/>
          <w:szCs w:val="18"/>
        </w:rPr>
        <w:t>个工作日的，可以不编制理财产品当期的季度、半年度和年度报告。温州银行将在每个开放周期结束后</w:t>
      </w:r>
      <w:r>
        <w:rPr>
          <w:rFonts w:hint="eastAsia"/>
          <w:sz w:val="18"/>
          <w:szCs w:val="18"/>
        </w:rPr>
        <w:t>2</w:t>
      </w:r>
      <w:r>
        <w:rPr>
          <w:rFonts w:hint="eastAsia"/>
          <w:sz w:val="18"/>
          <w:szCs w:val="18"/>
        </w:rPr>
        <w:t>日内，披露开放式公募理财产品在开放周期清算日的单位净值、单位累计净值、认购（申购）价格和赎回价格。</w:t>
      </w:r>
    </w:p>
    <w:p w14:paraId="06372902" w14:textId="77777777" w:rsidR="00E859A8" w:rsidRDefault="00D94EFD">
      <w:pPr>
        <w:numPr>
          <w:ilvl w:val="0"/>
          <w:numId w:val="3"/>
        </w:numPr>
        <w:adjustRightInd w:val="0"/>
        <w:snapToGrid w:val="0"/>
        <w:spacing w:line="286" w:lineRule="auto"/>
        <w:rPr>
          <w:sz w:val="18"/>
          <w:szCs w:val="18"/>
        </w:rPr>
      </w:pPr>
      <w:r>
        <w:rPr>
          <w:rFonts w:hint="eastAsia"/>
          <w:sz w:val="18"/>
          <w:szCs w:val="18"/>
        </w:rPr>
        <w:t>临时性公告：</w:t>
      </w:r>
    </w:p>
    <w:p w14:paraId="0D2CF1CB"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）在本理财产品存续期间，温州银行可以提前</w:t>
      </w:r>
      <w:r>
        <w:rPr>
          <w:rFonts w:hint="eastAsia"/>
          <w:sz w:val="18"/>
          <w:szCs w:val="18"/>
        </w:rPr>
        <w:t>2</w:t>
      </w:r>
      <w:r>
        <w:rPr>
          <w:rFonts w:hint="eastAsia"/>
          <w:sz w:val="18"/>
          <w:szCs w:val="18"/>
        </w:rPr>
        <w:t>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w:t>
      </w:r>
      <w:r>
        <w:rPr>
          <w:rFonts w:hint="eastAsia"/>
          <w:sz w:val="18"/>
          <w:szCs w:val="18"/>
        </w:rPr>
        <w:t>间，具体以届时温州银行的公告为准），投资者本金和收益（如有）将在赎回日后</w:t>
      </w:r>
      <w:r>
        <w:rPr>
          <w:rFonts w:hint="eastAsia"/>
          <w:sz w:val="18"/>
          <w:szCs w:val="18"/>
        </w:rPr>
        <w:t>10</w:t>
      </w:r>
      <w:r>
        <w:rPr>
          <w:rFonts w:hint="eastAsia"/>
          <w:sz w:val="18"/>
          <w:szCs w:val="18"/>
        </w:rPr>
        <w:t>个工作日内划转至投资者账户。逾期未赎回的，视为同意。</w:t>
      </w:r>
    </w:p>
    <w:p w14:paraId="1044B7D7" w14:textId="77777777" w:rsidR="00E859A8" w:rsidRDefault="00D94EFD">
      <w:pPr>
        <w:adjustRightInd w:val="0"/>
        <w:snapToGrid w:val="0"/>
        <w:spacing w:line="286" w:lineRule="auto"/>
        <w:rPr>
          <w:b/>
          <w:sz w:val="18"/>
          <w:szCs w:val="18"/>
        </w:rPr>
      </w:pPr>
      <w:r>
        <w:rPr>
          <w:rFonts w:hint="eastAsia"/>
          <w:b/>
          <w:sz w:val="18"/>
          <w:szCs w:val="18"/>
        </w:rPr>
        <w:t>（</w:t>
      </w:r>
      <w:r>
        <w:rPr>
          <w:rFonts w:hint="eastAsia"/>
          <w:b/>
          <w:sz w:val="18"/>
          <w:szCs w:val="18"/>
        </w:rPr>
        <w:t>2</w:t>
      </w: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w:t>
      </w:r>
      <w:r>
        <w:rPr>
          <w:rFonts w:hint="eastAsia"/>
          <w:b/>
          <w:sz w:val="18"/>
          <w:szCs w:val="18"/>
        </w:rPr>
        <w:t>2</w:t>
      </w:r>
      <w:r>
        <w:rPr>
          <w:rFonts w:hint="eastAsia"/>
          <w:b/>
          <w:sz w:val="18"/>
          <w:szCs w:val="18"/>
        </w:rPr>
        <w:t>个工作日发布相关信息公告通知投资者。修订后的产品说明书对投资者具有法律约束力。</w:t>
      </w:r>
    </w:p>
    <w:p w14:paraId="374D6456" w14:textId="77777777" w:rsidR="00E859A8" w:rsidRDefault="00D94EFD">
      <w:pPr>
        <w:adjustRightInd w:val="0"/>
        <w:snapToGrid w:val="0"/>
        <w:spacing w:line="286" w:lineRule="auto"/>
        <w:rPr>
          <w:b/>
          <w:sz w:val="18"/>
          <w:szCs w:val="18"/>
        </w:rPr>
      </w:pPr>
      <w:r>
        <w:rPr>
          <w:rFonts w:hint="eastAsia"/>
          <w:b/>
          <w:sz w:val="18"/>
          <w:szCs w:val="18"/>
        </w:rPr>
        <w:t>（</w:t>
      </w:r>
      <w:r>
        <w:rPr>
          <w:rFonts w:hint="eastAsia"/>
          <w:b/>
          <w:sz w:val="18"/>
          <w:szCs w:val="18"/>
        </w:rPr>
        <w:t>3</w:t>
      </w:r>
      <w:r>
        <w:rPr>
          <w:rFonts w:hint="eastAsia"/>
          <w:b/>
          <w:sz w:val="18"/>
          <w:szCs w:val="18"/>
        </w:rPr>
        <w:t>）管理人将在运用收取短期赎回费、摆动定价等措施后，</w:t>
      </w:r>
      <w:r>
        <w:rPr>
          <w:rFonts w:hint="eastAsia"/>
          <w:b/>
          <w:sz w:val="18"/>
          <w:szCs w:val="18"/>
        </w:rPr>
        <w:t>3</w:t>
      </w:r>
      <w:r>
        <w:rPr>
          <w:rFonts w:hint="eastAsia"/>
          <w:b/>
          <w:sz w:val="18"/>
          <w:szCs w:val="18"/>
        </w:rPr>
        <w:t>个交易日内发布相关事项公告</w:t>
      </w:r>
      <w:r>
        <w:rPr>
          <w:rFonts w:hint="eastAsia"/>
          <w:b/>
          <w:sz w:val="18"/>
          <w:szCs w:val="18"/>
        </w:rPr>
        <w:t>；在运用暂停认购、延期办理巨额赎回申请、暂停接受赎回申请、延缓支付赎回款项、暂停理财产品估值等措施后，</w:t>
      </w:r>
      <w:r>
        <w:rPr>
          <w:rFonts w:hint="eastAsia"/>
          <w:b/>
          <w:sz w:val="18"/>
          <w:szCs w:val="18"/>
        </w:rPr>
        <w:t>3</w:t>
      </w:r>
      <w:r>
        <w:rPr>
          <w:rFonts w:hint="eastAsia"/>
          <w:b/>
          <w:sz w:val="18"/>
          <w:szCs w:val="18"/>
        </w:rPr>
        <w:t>个交易日内发布相关事项公告，说明运用相关措施的原因、拟采取的应对安排等。</w:t>
      </w:r>
    </w:p>
    <w:p w14:paraId="2F0EF7AF" w14:textId="77777777" w:rsidR="00E859A8" w:rsidRDefault="00D94EFD">
      <w:pPr>
        <w:adjustRightInd w:val="0"/>
        <w:snapToGrid w:val="0"/>
        <w:spacing w:line="286" w:lineRule="auto"/>
        <w:rPr>
          <w:b/>
          <w:sz w:val="18"/>
          <w:szCs w:val="18"/>
        </w:rPr>
      </w:pPr>
      <w:r>
        <w:rPr>
          <w:rFonts w:hint="eastAsia"/>
          <w:b/>
          <w:sz w:val="18"/>
          <w:szCs w:val="18"/>
        </w:rPr>
        <w:t>4</w:t>
      </w:r>
      <w:r>
        <w:rPr>
          <w:rFonts w:hint="eastAsia"/>
          <w:b/>
          <w:sz w:val="18"/>
          <w:szCs w:val="18"/>
        </w:rPr>
        <w:t>、重大事项公告：如发生温州银行认为可能对理财产品投资者或者理财产品收益产生重大影响的事项时，温州银行将在</w:t>
      </w:r>
      <w:r>
        <w:rPr>
          <w:rFonts w:hint="eastAsia"/>
          <w:b/>
          <w:sz w:val="18"/>
          <w:szCs w:val="18"/>
        </w:rPr>
        <w:t>2</w:t>
      </w:r>
      <w:r>
        <w:rPr>
          <w:rFonts w:hint="eastAsia"/>
          <w:b/>
          <w:sz w:val="18"/>
          <w:szCs w:val="18"/>
        </w:rPr>
        <w:t>个工作日内向投资者披露相关信息。</w:t>
      </w:r>
    </w:p>
    <w:p w14:paraId="6C40B024" w14:textId="77777777" w:rsidR="00E859A8" w:rsidRDefault="00D94EFD">
      <w:pPr>
        <w:adjustRightInd w:val="0"/>
        <w:snapToGrid w:val="0"/>
        <w:spacing w:line="286" w:lineRule="auto"/>
        <w:rPr>
          <w:sz w:val="18"/>
          <w:szCs w:val="18"/>
        </w:rPr>
      </w:pPr>
      <w:r>
        <w:rPr>
          <w:rFonts w:hint="eastAsia"/>
          <w:sz w:val="18"/>
          <w:szCs w:val="18"/>
        </w:rPr>
        <w:t>5</w:t>
      </w:r>
      <w:r>
        <w:rPr>
          <w:rFonts w:hint="eastAsia"/>
          <w:sz w:val="18"/>
          <w:szCs w:val="18"/>
        </w:rPr>
        <w:t>、到期公告：</w:t>
      </w:r>
    </w:p>
    <w:p w14:paraId="08B23E6E" w14:textId="77777777" w:rsidR="00E859A8" w:rsidRDefault="00D94EFD">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w:t>
      </w:r>
      <w:r>
        <w:rPr>
          <w:rFonts w:hint="eastAsia"/>
          <w:sz w:val="18"/>
          <w:szCs w:val="18"/>
        </w:rPr>
        <w:t>5</w:t>
      </w:r>
      <w:r>
        <w:rPr>
          <w:rFonts w:hint="eastAsia"/>
          <w:sz w:val="18"/>
          <w:szCs w:val="18"/>
        </w:rPr>
        <w:t>个工作日内，在温州银行网站发布到期公告。</w:t>
      </w:r>
    </w:p>
    <w:p w14:paraId="3911C46C" w14:textId="77777777" w:rsidR="00E859A8" w:rsidRDefault="00D94EFD">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w:t>
      </w:r>
      <w:r>
        <w:rPr>
          <w:rFonts w:hint="eastAsia"/>
          <w:b/>
          <w:sz w:val="18"/>
          <w:szCs w:val="18"/>
        </w:rPr>
        <w:t>点发布相关信息公告。</w:t>
      </w:r>
    </w:p>
    <w:p w14:paraId="79A9417E" w14:textId="77777777" w:rsidR="00E859A8" w:rsidRDefault="00D94EFD">
      <w:pPr>
        <w:adjustRightInd w:val="0"/>
        <w:snapToGrid w:val="0"/>
        <w:spacing w:line="286" w:lineRule="auto"/>
        <w:rPr>
          <w:sz w:val="18"/>
          <w:szCs w:val="18"/>
        </w:rPr>
      </w:pPr>
      <w:r>
        <w:rPr>
          <w:rFonts w:hint="eastAsia"/>
          <w:sz w:val="18"/>
          <w:szCs w:val="18"/>
        </w:rPr>
        <w:lastRenderedPageBreak/>
        <w:t>6</w:t>
      </w:r>
      <w:r>
        <w:rPr>
          <w:rFonts w:hint="eastAsia"/>
          <w:sz w:val="18"/>
          <w:szCs w:val="18"/>
        </w:rPr>
        <w:t>、温州银行将在理财期内在温州银行网站（</w:t>
      </w:r>
      <w:r>
        <w:rPr>
          <w:rFonts w:hint="eastAsia"/>
          <w:sz w:val="18"/>
          <w:szCs w:val="18"/>
        </w:rPr>
        <w:t>www.wzbank.cn</w:t>
      </w:r>
      <w:r>
        <w:rPr>
          <w:rFonts w:hint="eastAsia"/>
          <w:sz w:val="18"/>
          <w:szCs w:val="18"/>
        </w:rPr>
        <w:t>）或电子银行等信息平台对本产品说明书予以公示。产品存续期间，投资者应当登录温州银行网站（</w:t>
      </w:r>
      <w:r>
        <w:rPr>
          <w:rFonts w:hint="eastAsia"/>
          <w:sz w:val="18"/>
          <w:szCs w:val="18"/>
        </w:rPr>
        <w:t>www.wzbank.cn</w:t>
      </w:r>
      <w:r>
        <w:rPr>
          <w:rFonts w:hint="eastAsia"/>
          <w:sz w:val="18"/>
          <w:szCs w:val="18"/>
        </w:rPr>
        <w:t>）或电子银行等信息平台获取与本理财产品相关的信息。</w:t>
      </w:r>
    </w:p>
    <w:p w14:paraId="6D426BF1" w14:textId="77777777" w:rsidR="00E859A8" w:rsidRDefault="00D94EFD">
      <w:pPr>
        <w:adjustRightInd w:val="0"/>
        <w:snapToGrid w:val="0"/>
        <w:spacing w:line="286" w:lineRule="auto"/>
        <w:rPr>
          <w:sz w:val="18"/>
          <w:szCs w:val="18"/>
        </w:rPr>
      </w:pPr>
      <w:r>
        <w:rPr>
          <w:rFonts w:hint="eastAsia"/>
          <w:sz w:val="18"/>
          <w:szCs w:val="18"/>
        </w:rPr>
        <w:t>7</w:t>
      </w:r>
      <w:r>
        <w:rPr>
          <w:rFonts w:hint="eastAsia"/>
          <w:sz w:val="18"/>
          <w:szCs w:val="18"/>
        </w:rPr>
        <w:t>、理财产品账单：温州银行将在理财期内在温州银行网站（</w:t>
      </w:r>
      <w:r>
        <w:rPr>
          <w:rFonts w:hint="eastAsia"/>
          <w:sz w:val="18"/>
          <w:szCs w:val="18"/>
        </w:rPr>
        <w:t>www.wzbank.cn</w:t>
      </w:r>
      <w:r>
        <w:rPr>
          <w:rFonts w:hint="eastAsia"/>
          <w:sz w:val="18"/>
          <w:szCs w:val="18"/>
        </w:rPr>
        <w:t>）或电子银行等信息平台，至少按月为投资者提供理财产品账单信息。</w:t>
      </w:r>
    </w:p>
    <w:p w14:paraId="2833EF6B" w14:textId="77777777" w:rsidR="00E859A8" w:rsidRDefault="00D94EFD">
      <w:pPr>
        <w:adjustRightInd w:val="0"/>
        <w:snapToGrid w:val="0"/>
        <w:spacing w:line="276" w:lineRule="auto"/>
        <w:rPr>
          <w:b/>
          <w:sz w:val="18"/>
          <w:szCs w:val="18"/>
        </w:rPr>
      </w:pPr>
      <w:r>
        <w:rPr>
          <w:rFonts w:hint="eastAsia"/>
          <w:b/>
          <w:sz w:val="18"/>
          <w:szCs w:val="18"/>
        </w:rPr>
        <w:t>投资者信息管理</w:t>
      </w:r>
    </w:p>
    <w:p w14:paraId="6B74A0E1" w14:textId="77777777" w:rsidR="00E859A8" w:rsidRDefault="00D94EFD">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w:t>
      </w:r>
      <w:r>
        <w:rPr>
          <w:rFonts w:hint="eastAsia"/>
          <w:sz w:val="18"/>
          <w:szCs w:val="18"/>
        </w:rPr>
        <w:t>信息保密责任，除监管机构或司法机关等有权机构外，不得对其他第三方商业机构提供投资者信息。</w:t>
      </w:r>
    </w:p>
    <w:p w14:paraId="744CBCBD" w14:textId="77777777" w:rsidR="00E859A8" w:rsidRDefault="00D94EFD">
      <w:pPr>
        <w:adjustRightInd w:val="0"/>
        <w:snapToGrid w:val="0"/>
        <w:spacing w:line="286" w:lineRule="auto"/>
        <w:rPr>
          <w:b/>
          <w:sz w:val="18"/>
          <w:szCs w:val="18"/>
        </w:rPr>
      </w:pPr>
      <w:r>
        <w:rPr>
          <w:rFonts w:hint="eastAsia"/>
          <w:b/>
          <w:sz w:val="18"/>
          <w:szCs w:val="18"/>
        </w:rPr>
        <w:t>产品认购（申购）</w:t>
      </w:r>
    </w:p>
    <w:p w14:paraId="3EF1992B" w14:textId="77777777" w:rsidR="00E859A8" w:rsidRDefault="00D94EF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558DDFDC" w14:textId="77777777" w:rsidR="00E859A8" w:rsidRDefault="00D94EFD">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w:t>
      </w:r>
      <w:r>
        <w:rPr>
          <w:rFonts w:hint="eastAsia"/>
          <w:sz w:val="18"/>
          <w:szCs w:val="18"/>
        </w:rPr>
        <w:t>话确认，无需客户另行授权。请投资者确保您的资金账户状态正常，如因资金账户状态异常而无法在理财计划成立日</w:t>
      </w:r>
      <w:r>
        <w:rPr>
          <w:rFonts w:hint="eastAsia"/>
          <w:sz w:val="18"/>
          <w:szCs w:val="18"/>
        </w:rPr>
        <w:t>/</w:t>
      </w:r>
      <w:r>
        <w:rPr>
          <w:rFonts w:hint="eastAsia"/>
          <w:sz w:val="18"/>
          <w:szCs w:val="18"/>
        </w:rPr>
        <w:t>投资周期起始日实现资金扣划，相应认购（申购）将做失败处理。</w:t>
      </w:r>
    </w:p>
    <w:p w14:paraId="3ED1E193" w14:textId="77777777" w:rsidR="00E859A8" w:rsidRDefault="00D94EFD">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14C79866" w14:textId="77777777" w:rsidR="00E859A8" w:rsidRDefault="00D94EFD">
      <w:pPr>
        <w:adjustRightInd w:val="0"/>
        <w:snapToGrid w:val="0"/>
        <w:spacing w:line="286" w:lineRule="auto"/>
        <w:rPr>
          <w:b/>
          <w:sz w:val="18"/>
          <w:szCs w:val="18"/>
        </w:rPr>
      </w:pPr>
      <w:r>
        <w:rPr>
          <w:rFonts w:hint="eastAsia"/>
          <w:b/>
          <w:sz w:val="18"/>
          <w:szCs w:val="18"/>
        </w:rPr>
        <w:t>法律适用与争议解决</w:t>
      </w:r>
    </w:p>
    <w:p w14:paraId="482E4C48" w14:textId="77777777" w:rsidR="00E859A8" w:rsidRDefault="00D94EFD">
      <w:pPr>
        <w:adjustRightInd w:val="0"/>
        <w:snapToGrid w:val="0"/>
        <w:spacing w:line="286" w:lineRule="auto"/>
        <w:rPr>
          <w:sz w:val="18"/>
          <w:szCs w:val="18"/>
        </w:rPr>
      </w:pPr>
      <w:r>
        <w:rPr>
          <w:rFonts w:hint="eastAsia"/>
          <w:sz w:val="18"/>
          <w:szCs w:val="18"/>
        </w:rPr>
        <w:t>1</w:t>
      </w:r>
      <w:r>
        <w:rPr>
          <w:rFonts w:hint="eastAsia"/>
          <w:sz w:val="18"/>
          <w:szCs w:val="18"/>
        </w:rPr>
        <w:t>、法律适用</w:t>
      </w:r>
    </w:p>
    <w:p w14:paraId="33314E15" w14:textId="77777777" w:rsidR="00E859A8" w:rsidRDefault="00D94EFD">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058D5300" w14:textId="77777777" w:rsidR="00E859A8" w:rsidRDefault="00D94EFD">
      <w:pPr>
        <w:adjustRightInd w:val="0"/>
        <w:snapToGrid w:val="0"/>
        <w:spacing w:line="286" w:lineRule="auto"/>
        <w:rPr>
          <w:sz w:val="18"/>
          <w:szCs w:val="18"/>
        </w:rPr>
      </w:pPr>
      <w:r>
        <w:rPr>
          <w:rFonts w:hint="eastAsia"/>
          <w:sz w:val="18"/>
          <w:szCs w:val="18"/>
        </w:rPr>
        <w:t>2</w:t>
      </w:r>
      <w:r>
        <w:rPr>
          <w:rFonts w:hint="eastAsia"/>
          <w:sz w:val="18"/>
          <w:szCs w:val="18"/>
        </w:rPr>
        <w:t>、争议解决</w:t>
      </w:r>
    </w:p>
    <w:p w14:paraId="19B5D289"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）凡因理财计划合同引起的或与理财计划合同有关的任何争议，由各方协商解决。如协商未成，任何一方可向温州市鹿城区人民法院提起诉讼。</w:t>
      </w:r>
    </w:p>
    <w:p w14:paraId="6F5A99B3" w14:textId="77777777"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）除各方发生争议的事项外，各方仍应当本着善意的原则按照理财计划文件的规定继续履行各自义务。</w:t>
      </w:r>
    </w:p>
    <w:p w14:paraId="01C75042" w14:textId="65F6D6CF" w:rsidR="00E859A8" w:rsidRDefault="00D94EFD">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）《温州银行“金鹿理财</w:t>
      </w:r>
      <w:r>
        <w:rPr>
          <w:rFonts w:hint="eastAsia"/>
          <w:sz w:val="18"/>
          <w:szCs w:val="18"/>
        </w:rPr>
        <w:t>-</w:t>
      </w:r>
      <w:r>
        <w:rPr>
          <w:rFonts w:hint="eastAsia"/>
          <w:sz w:val="18"/>
          <w:szCs w:val="18"/>
        </w:rPr>
        <w:t>普惠颐养”</w:t>
      </w:r>
      <w:r w:rsidR="006B4521">
        <w:rPr>
          <w:rFonts w:ascii="宋体" w:hAnsi="宋体"/>
          <w:color w:val="000000"/>
          <w:sz w:val="18"/>
        </w:rPr>
        <w:t>21005号</w:t>
      </w:r>
      <w:r>
        <w:rPr>
          <w:rFonts w:hint="eastAsia"/>
          <w:sz w:val="18"/>
          <w:szCs w:val="18"/>
        </w:rPr>
        <w:t>开放式净值型银行理财计划风险揭示书》、《温州银行“金鹿理财”银行理财计划合约》、《温州银行“金鹿理财</w:t>
      </w:r>
      <w:r>
        <w:rPr>
          <w:rFonts w:hint="eastAsia"/>
          <w:sz w:val="18"/>
          <w:szCs w:val="18"/>
        </w:rPr>
        <w:t>-</w:t>
      </w:r>
      <w:r>
        <w:rPr>
          <w:rFonts w:hint="eastAsia"/>
          <w:sz w:val="18"/>
          <w:szCs w:val="18"/>
        </w:rPr>
        <w:t>普惠颐养”</w:t>
      </w:r>
      <w:r w:rsidR="006B4521">
        <w:rPr>
          <w:rFonts w:ascii="宋体" w:hAnsi="宋体"/>
          <w:color w:val="000000"/>
          <w:sz w:val="18"/>
        </w:rPr>
        <w:t>21005号</w:t>
      </w:r>
      <w:r>
        <w:rPr>
          <w:rFonts w:hint="eastAsia"/>
          <w:sz w:val="18"/>
          <w:szCs w:val="18"/>
        </w:rPr>
        <w:t>开放式净值型（第</w:t>
      </w:r>
      <w:r>
        <w:rPr>
          <w:rFonts w:hint="eastAsia"/>
          <w:sz w:val="18"/>
          <w:szCs w:val="18"/>
        </w:rPr>
        <w:t>i</w:t>
      </w:r>
      <w:r>
        <w:rPr>
          <w:rFonts w:hint="eastAsia"/>
          <w:sz w:val="18"/>
          <w:szCs w:val="18"/>
        </w:rPr>
        <w:t>期）银行理财计划开放认购（申购）申请书》和《温州银行理财产品投资者权益须知》等销售文件中的内容与本产品说明书不一致的，以本产品说明书约定的内容为准。</w:t>
      </w:r>
    </w:p>
    <w:p w14:paraId="565E9A90" w14:textId="77777777" w:rsidR="00E859A8" w:rsidRDefault="00D94EFD">
      <w:pPr>
        <w:spacing w:beforeLines="100" w:before="312" w:line="281" w:lineRule="auto"/>
        <w:rPr>
          <w:rFonts w:ascii="宋体" w:hAnsi="宋体"/>
          <w:szCs w:val="21"/>
        </w:rPr>
      </w:pPr>
      <w:r>
        <w:rPr>
          <w:rFonts w:ascii="宋体" w:hAnsi="宋体" w:hint="eastAsia"/>
          <w:szCs w:val="21"/>
        </w:rPr>
        <w:t xml:space="preserve">         </w:t>
      </w:r>
      <w:r>
        <w:rPr>
          <w:rFonts w:ascii="宋体" w:hAnsi="宋体" w:hint="eastAsia"/>
          <w:szCs w:val="21"/>
        </w:rPr>
        <w:t>投资者签章：</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日期：</w:t>
      </w:r>
    </w:p>
    <w:p w14:paraId="065C7510" w14:textId="77777777" w:rsidR="00E859A8" w:rsidRDefault="00E859A8">
      <w:pPr>
        <w:rPr>
          <w:szCs w:val="21"/>
        </w:rPr>
      </w:pPr>
    </w:p>
    <w:sectPr w:rsidR="00E859A8">
      <w:footerReference w:type="default" r:id="rId8"/>
      <w:pgSz w:w="11906" w:h="16838"/>
      <w:pgMar w:top="1247" w:right="1361" w:bottom="1247" w:left="136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9141C8" w14:textId="77777777" w:rsidR="00D94EFD" w:rsidRDefault="00D94EFD">
      <w:r>
        <w:separator/>
      </w:r>
    </w:p>
  </w:endnote>
  <w:endnote w:type="continuationSeparator" w:id="0">
    <w:p w14:paraId="2EC6999D" w14:textId="77777777" w:rsidR="00D94EFD" w:rsidRDefault="00D94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757AB" w14:textId="660E3BB0" w:rsidR="00E859A8" w:rsidRDefault="00D94EFD">
    <w:pPr>
      <w:pStyle w:val="a7"/>
      <w:jc w:val="center"/>
    </w:pPr>
    <w:r>
      <w:rPr>
        <w:lang w:val="zh-CN"/>
      </w:rPr>
      <w:t xml:space="preserve"> </w:t>
    </w:r>
    <w:r>
      <w:rPr>
        <w:b/>
        <w:sz w:val="24"/>
        <w:szCs w:val="24"/>
      </w:rPr>
      <w:fldChar w:fldCharType="begin"/>
    </w:r>
    <w:r>
      <w:rPr>
        <w:b/>
      </w:rPr>
      <w:instrText>PAGE</w:instrText>
    </w:r>
    <w:r>
      <w:rPr>
        <w:b/>
        <w:sz w:val="24"/>
        <w:szCs w:val="24"/>
      </w:rPr>
      <w:fldChar w:fldCharType="separate"/>
    </w:r>
    <w:r w:rsidR="00F3631D">
      <w:rPr>
        <w:b/>
        <w:noProof/>
      </w:rPr>
      <w:t>9</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F3631D">
      <w:rPr>
        <w:b/>
        <w:noProof/>
      </w:rPr>
      <w:t>12</w:t>
    </w:r>
    <w:r>
      <w:rPr>
        <w:b/>
        <w:sz w:val="24"/>
        <w:szCs w:val="24"/>
      </w:rPr>
      <w:fldChar w:fldCharType="end"/>
    </w:r>
  </w:p>
  <w:p w14:paraId="66FB1017" w14:textId="77777777" w:rsidR="00E859A8" w:rsidRDefault="00E859A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4A1FC" w14:textId="77777777" w:rsidR="00D94EFD" w:rsidRDefault="00D94EFD">
      <w:r>
        <w:separator/>
      </w:r>
    </w:p>
  </w:footnote>
  <w:footnote w:type="continuationSeparator" w:id="0">
    <w:p w14:paraId="544E5385" w14:textId="77777777" w:rsidR="00D94EFD" w:rsidRDefault="00D94E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2737DF8"/>
    <w:multiLevelType w:val="singleLevel"/>
    <w:tmpl w:val="92737DF8"/>
    <w:lvl w:ilvl="0">
      <w:start w:val="3"/>
      <w:numFmt w:val="decimal"/>
      <w:suff w:val="nothing"/>
      <w:lvlText w:val="%1、"/>
      <w:lvlJc w:val="left"/>
    </w:lvl>
  </w:abstractNum>
  <w:abstractNum w:abstractNumId="1" w15:restartNumberingAfterBreak="0">
    <w:nsid w:val="03829B1D"/>
    <w:multiLevelType w:val="singleLevel"/>
    <w:tmpl w:val="03829B1D"/>
    <w:lvl w:ilvl="0">
      <w:start w:val="4"/>
      <w:numFmt w:val="decimal"/>
      <w:suff w:val="nothing"/>
      <w:lvlText w:val="%1、"/>
      <w:lvlJc w:val="left"/>
    </w:lvl>
  </w:abstractNum>
  <w:abstractNum w:abstractNumId="2" w15:restartNumberingAfterBreak="0">
    <w:nsid w:val="63C75758"/>
    <w:multiLevelType w:val="singleLevel"/>
    <w:tmpl w:val="63C75758"/>
    <w:lvl w:ilvl="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B4DDE0FF"/>
    <w:rsid w:val="BAECF763"/>
    <w:rsid w:val="BE5B9F0B"/>
    <w:rsid w:val="BFEFBD82"/>
    <w:rsid w:val="CDBC02B5"/>
    <w:rsid w:val="DDE6B92A"/>
    <w:rsid w:val="E73CB198"/>
    <w:rsid w:val="E777AAF9"/>
    <w:rsid w:val="EFFC1F21"/>
    <w:rsid w:val="F99F1122"/>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948"/>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4521"/>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4EF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859A8"/>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31D"/>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F94FC2F"/>
  <w15:docId w15:val="{B8343B04-400F-4BC0-AD6F-9060F5AA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alloon Text"/>
    <w:basedOn w:val="a"/>
    <w:link w:val="a6"/>
    <w:qFormat/>
    <w:rPr>
      <w:sz w:val="18"/>
      <w:szCs w:val="18"/>
    </w:rPr>
  </w:style>
  <w:style w:type="paragraph" w:styleId="a7">
    <w:name w:val="footer"/>
    <w:basedOn w:val="a"/>
    <w:link w:val="a8"/>
    <w:uiPriority w:val="99"/>
    <w:qFormat/>
    <w:pPr>
      <w:tabs>
        <w:tab w:val="center" w:pos="4153"/>
        <w:tab w:val="right" w:pos="8306"/>
      </w:tabs>
      <w:snapToGrid w:val="0"/>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rPr>
      <w:sz w:val="24"/>
    </w:rPr>
  </w:style>
  <w:style w:type="paragraph" w:styleId="ac">
    <w:name w:val="annotation subject"/>
    <w:basedOn w:val="a3"/>
    <w:next w:val="a3"/>
    <w:link w:val="ad"/>
    <w:qFormat/>
    <w:rPr>
      <w:b/>
      <w:bCs/>
    </w:rPr>
  </w:style>
  <w:style w:type="table" w:styleId="ae">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qFormat/>
    <w:rPr>
      <w:sz w:val="21"/>
      <w:szCs w:val="21"/>
    </w:rPr>
  </w:style>
  <w:style w:type="character" w:customStyle="1" w:styleId="a8">
    <w:name w:val="页脚 字符"/>
    <w:link w:val="a7"/>
    <w:uiPriority w:val="99"/>
    <w:qFormat/>
    <w:rPr>
      <w:kern w:val="2"/>
      <w:sz w:val="18"/>
      <w:szCs w:val="18"/>
    </w:rPr>
  </w:style>
  <w:style w:type="character" w:customStyle="1" w:styleId="ad">
    <w:name w:val="批注主题 字符"/>
    <w:link w:val="ac"/>
    <w:qFormat/>
    <w:rPr>
      <w:b/>
      <w:bCs/>
      <w:kern w:val="2"/>
      <w:sz w:val="21"/>
    </w:rPr>
  </w:style>
  <w:style w:type="character" w:customStyle="1" w:styleId="aa">
    <w:name w:val="页眉 字符"/>
    <w:link w:val="a9"/>
    <w:qFormat/>
    <w:rPr>
      <w:kern w:val="2"/>
      <w:sz w:val="18"/>
      <w:szCs w:val="18"/>
    </w:rPr>
  </w:style>
  <w:style w:type="character" w:customStyle="1" w:styleId="a6">
    <w:name w:val="批注框文本 字符"/>
    <w:link w:val="a5"/>
    <w:qFormat/>
    <w:rPr>
      <w:kern w:val="2"/>
      <w:sz w:val="18"/>
      <w:szCs w:val="18"/>
    </w:rPr>
  </w:style>
  <w:style w:type="character" w:customStyle="1" w:styleId="a4">
    <w:name w:val="批注文字 字符"/>
    <w:link w:val="a3"/>
    <w:qFormat/>
    <w:rPr>
      <w:kern w:val="2"/>
      <w:sz w:val="21"/>
    </w:rPr>
  </w:style>
  <w:style w:type="paragraph" w:customStyle="1" w:styleId="Style16">
    <w:name w:val="_Style 16"/>
    <w:uiPriority w:val="99"/>
    <w:unhideWhenUsed/>
    <w:qFormat/>
    <w:rPr>
      <w:kern w:val="2"/>
      <w:sz w:val="21"/>
    </w:rPr>
  </w:style>
  <w:style w:type="paragraph" w:styleId="af0">
    <w:name w:val="List Paragraph"/>
    <w:basedOn w:val="a"/>
    <w:uiPriority w:val="34"/>
    <w:qFormat/>
    <w:pPr>
      <w:widowControl/>
      <w:ind w:firstLine="420"/>
    </w:pPr>
    <w:rPr>
      <w:rFonts w:ascii="Calibri" w:hAnsi="Calibri" w:cs="宋体"/>
      <w:kern w:val="0"/>
      <w:szCs w:val="21"/>
    </w:rPr>
  </w:style>
  <w:style w:type="paragraph" w:customStyle="1" w:styleId="Char">
    <w:name w:val="Char"/>
    <w:basedOn w:val="a"/>
    <w:qFormat/>
    <w:rPr>
      <w:rFonts w:ascii="仿宋_GB2312" w:eastAsia="仿宋_GB2312"/>
      <w:b/>
      <w:sz w:val="32"/>
      <w:szCs w:val="32"/>
    </w:rPr>
  </w:style>
  <w:style w:type="paragraph" w:customStyle="1" w:styleId="msonormalcxspmiddle">
    <w:name w:val="msonormalcxspmiddle"/>
    <w:basedOn w:val="a"/>
    <w:qFormat/>
    <w:pPr>
      <w:widowControl/>
      <w:spacing w:before="100" w:beforeAutospacing="1" w:after="100" w:afterAutospacing="1"/>
      <w:jc w:val="left"/>
    </w:pPr>
    <w:rPr>
      <w:rFonts w:ascii="宋体" w:hAnsi="宋体" w:cs="宋体"/>
      <w:kern w:val="0"/>
      <w:sz w:val="24"/>
      <w:szCs w:val="24"/>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Char1">
    <w:name w:val="Char1"/>
    <w:basedOn w:val="a"/>
    <w:qFormat/>
    <w:rPr>
      <w:rFonts w:ascii="仿宋_GB2312" w:eastAsia="仿宋_GB2312"/>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2981</Words>
  <Characters>16996</Characters>
  <Application>Microsoft Office Word</Application>
  <DocSecurity>0</DocSecurity>
  <Lines>141</Lines>
  <Paragraphs>39</Paragraphs>
  <ScaleCrop>false</ScaleCrop>
  <Company>Sky123.Org</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creator>潘伟蕾</dc:creator>
  <cp:lastModifiedBy>乐闷闷</cp:lastModifiedBy>
  <cp:revision>15</cp:revision>
  <cp:lastPrinted>2012-11-29T18:11:00Z</cp:lastPrinted>
  <dcterms:created xsi:type="dcterms:W3CDTF">2022-03-03T18:57:00Z</dcterms:created>
  <dcterms:modified xsi:type="dcterms:W3CDTF">2024-01-29T06:43:00Z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306DF2F3FA2DC67C7646F8647494EC14_43</vt:lpwstr>
  </property>
</Properties>
</file>