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rPr>
      </w:pPr>
      <w:r>
        <w:rPr>
          <w:rFonts w:hint="eastAsia" w:ascii="黑体" w:eastAsia="黑体"/>
          <w:sz w:val="30"/>
          <w:szCs w:val="30"/>
        </w:rPr>
        <w:t>温州银行“金鹿理财-温盈”</w:t>
      </w:r>
      <w:r>
        <w:rPr>
          <w:rFonts w:hint="eastAsia"/>
        </w:rPr>
        <w:t xml:space="preserve"> </w:t>
      </w:r>
      <w:r>
        <w:rPr>
          <w:rFonts w:hint="eastAsia" w:ascii="黑体" w:eastAsia="黑体"/>
          <w:color w:val="000000"/>
          <w:sz w:val="30"/>
          <w:szCs w:val="30"/>
          <w:u w:val="single"/>
        </w:rPr>
        <w:t>19006号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00" w:lineRule="auto"/>
        <w:rPr>
          <w:rFonts w:ascii="宋体" w:hAnsi="宋体"/>
          <w:b/>
          <w:szCs w:val="21"/>
        </w:rPr>
      </w:pPr>
      <w:r>
        <w:rPr>
          <w:rFonts w:hint="eastAsia" w:ascii="宋体" w:hAnsi="宋体"/>
          <w:b/>
          <w:szCs w:val="21"/>
        </w:rPr>
        <w:t>尊敬的客户：</w:t>
      </w:r>
    </w:p>
    <w:p>
      <w:pPr>
        <w:adjustRightInd w:val="0"/>
        <w:snapToGrid w:val="0"/>
        <w:spacing w:line="300"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，请在认购（申购）该理财产品前特别注意以下事项：</w:t>
      </w:r>
    </w:p>
    <w:p>
      <w:pPr>
        <w:adjustRightInd w:val="0"/>
        <w:snapToGrid w:val="0"/>
        <w:spacing w:line="300" w:lineRule="auto"/>
        <w:ind w:firstLine="420"/>
        <w:rPr>
          <w:rFonts w:ascii="宋体" w:hAnsi="宋体"/>
          <w:b/>
          <w:bCs/>
          <w:szCs w:val="21"/>
        </w:rPr>
      </w:pPr>
      <w:r>
        <w:rPr>
          <w:rFonts w:hint="eastAsia" w:ascii="宋体" w:hAnsi="宋体"/>
          <w:szCs w:val="21"/>
        </w:rPr>
        <w:t>一、</w:t>
      </w:r>
      <w:r>
        <w:rPr>
          <w:rFonts w:hint="eastAsia"/>
          <w:szCs w:val="21"/>
        </w:rPr>
        <w:t>您将认购（申购）的温州银行“金鹿理财</w:t>
      </w:r>
      <w:r>
        <w:rPr>
          <w:rFonts w:hint="eastAsia" w:ascii="宋体" w:hAnsi="宋体"/>
          <w:szCs w:val="21"/>
        </w:rPr>
        <w:t>-</w:t>
      </w:r>
      <w:r>
        <w:rPr>
          <w:rFonts w:hint="eastAsia"/>
          <w:szCs w:val="21"/>
        </w:rPr>
        <w:t>温盈”</w:t>
      </w:r>
      <w:r>
        <w:rPr>
          <w:color w:val="000000"/>
          <w:szCs w:val="21"/>
          <w:u w:val="single"/>
        </w:rPr>
        <w:t>19006</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，在产品存续期内不定期开放第i期运作期理财申购及赎回兑付，每个运作期内的理财期限、理财起始日、理财到期日及业绩比较基准等要素以《温州银行</w:t>
      </w:r>
      <w:r>
        <w:rPr>
          <w:rFonts w:hint="eastAsia" w:ascii="宋体" w:hAnsi="宋体"/>
          <w:szCs w:val="21"/>
        </w:rPr>
        <w:t>“金鹿理财-</w:t>
      </w:r>
      <w:r>
        <w:rPr>
          <w:rFonts w:hint="eastAsia" w:ascii="宋体" w:hAnsi="宋体"/>
          <w:color w:val="000000"/>
          <w:szCs w:val="21"/>
        </w:rPr>
        <w:t>温盈”</w:t>
      </w:r>
      <w:bookmarkStart w:id="0" w:name="_GoBack"/>
      <w:bookmarkEnd w:id="0"/>
      <w:r>
        <w:rPr>
          <w:rFonts w:hint="eastAsia" w:ascii="宋体" w:hAnsi="宋体"/>
          <w:color w:val="000000"/>
          <w:szCs w:val="21"/>
        </w:rPr>
        <w:t>19006号开放式净值</w:t>
      </w:r>
      <w:r>
        <w:rPr>
          <w:rFonts w:hint="eastAsia"/>
          <w:szCs w:val="21"/>
        </w:rPr>
        <w:t>型（第i期）银行理财计划开放认购（申购）申请书》约定为准。</w:t>
      </w:r>
      <w:r>
        <w:rPr>
          <w:rFonts w:hint="eastAsia"/>
          <w:b/>
          <w:szCs w:val="21"/>
        </w:rPr>
        <w:t>根据温</w:t>
      </w:r>
      <w:r>
        <w:rPr>
          <w:rFonts w:hint="eastAsia" w:ascii="宋体" w:hAnsi="宋体"/>
          <w:b/>
          <w:szCs w:val="21"/>
        </w:rPr>
        <w:t>州银行内部风险评级标准，该产品的风险等级为</w:t>
      </w:r>
      <w:r>
        <w:rPr>
          <w:rFonts w:ascii="宋体" w:hAnsi="宋体"/>
          <w:b/>
          <w:szCs w:val="21"/>
          <w:u w:val="single"/>
        </w:rPr>
        <w:t>PR2</w:t>
      </w:r>
      <w:r>
        <w:rPr>
          <w:rFonts w:hint="eastAsia" w:ascii="宋体" w:hAnsi="宋体"/>
          <w:b/>
          <w:szCs w:val="21"/>
          <w:u w:val="single"/>
        </w:rPr>
        <w:t>级</w:t>
      </w:r>
      <w:r>
        <w:rPr>
          <w:rFonts w:hint="eastAsia" w:ascii="宋体" w:hAnsi="宋体"/>
          <w:b/>
          <w:szCs w:val="21"/>
        </w:rPr>
        <w:t>（稳健型）：总体风险程度较低，银行不承诺本金保障，产品收益随投资表现变动。</w:t>
      </w:r>
      <w:r>
        <w:rPr>
          <w:rFonts w:hint="eastAsia" w:ascii="宋体" w:hAnsi="宋体"/>
          <w:szCs w:val="21"/>
        </w:rPr>
        <w:t>本理财产品适合客户：经温州银行评估为稳健型、平衡型、进取型、激进型的个人投资者。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00"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00"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00" w:lineRule="auto"/>
        <w:ind w:firstLine="420"/>
        <w:rPr>
          <w:rFonts w:ascii="宋体" w:hAnsi="宋体"/>
          <w:szCs w:val="21"/>
        </w:rPr>
      </w:pPr>
      <w:r>
        <w:rPr>
          <w:rFonts w:hint="eastAsia" w:ascii="宋体" w:hAnsi="宋体"/>
          <w:szCs w:val="21"/>
        </w:rPr>
        <w:t>三、本风险揭示书及《温州银行“金鹿理财-</w:t>
      </w:r>
      <w:r>
        <w:rPr>
          <w:rFonts w:hint="eastAsia" w:ascii="宋体" w:hAnsi="宋体"/>
          <w:color w:val="000000"/>
          <w:szCs w:val="21"/>
        </w:rPr>
        <w:t>温盈”19006号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w:t>
      </w:r>
      <w:r>
        <w:rPr>
          <w:rFonts w:hint="eastAsia" w:ascii="宋体" w:hAnsi="宋体"/>
          <w:szCs w:val="21"/>
        </w:rPr>
        <w:t>-</w:t>
      </w:r>
      <w:r>
        <w:rPr>
          <w:rFonts w:hint="eastAsia" w:ascii="宋体" w:hAnsi="宋体"/>
          <w:color w:val="000000"/>
          <w:szCs w:val="21"/>
        </w:rPr>
        <w:t>温盈”19006号开放式净值型银行理财计划产品说明书》、《温州银行“金鹿理财</w:t>
      </w:r>
      <w:r>
        <w:rPr>
          <w:rFonts w:hint="eastAsia" w:ascii="宋体" w:hAnsi="宋体"/>
          <w:szCs w:val="21"/>
        </w:rPr>
        <w:t>-</w:t>
      </w:r>
      <w:r>
        <w:rPr>
          <w:rFonts w:hint="eastAsia" w:ascii="宋体" w:hAnsi="宋体"/>
          <w:color w:val="000000"/>
          <w:szCs w:val="21"/>
        </w:rPr>
        <w:t>温盈”19006号开放式净值型（第</w:t>
      </w:r>
      <w:r>
        <w:rPr>
          <w:rFonts w:hint="eastAsia" w:ascii="宋体" w:hAnsi="宋体"/>
          <w:szCs w:val="21"/>
        </w:rPr>
        <w:t>i期）银行理财计划开放认购（申购）申请书》和《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00"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00"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00"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00" w:lineRule="auto"/>
        <w:rPr>
          <w:b/>
          <w:szCs w:val="21"/>
        </w:rPr>
      </w:pPr>
      <w:r>
        <w:rPr>
          <w:rFonts w:hint="eastAsia"/>
          <w:b/>
          <w:szCs w:val="21"/>
        </w:rPr>
        <w:t>本人经温州银行评估的风险承受能力等级为（客户填写）：</w:t>
      </w:r>
    </w:p>
    <w:p>
      <w:pPr>
        <w:adjustRightInd w:val="0"/>
        <w:snapToGrid w:val="0"/>
        <w:spacing w:line="300"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00"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00" w:lineRule="auto"/>
        <w:rPr>
          <w:b/>
          <w:szCs w:val="21"/>
        </w:rPr>
      </w:pPr>
      <w:r>
        <w:rPr>
          <w:rFonts w:hint="eastAsia"/>
          <w:b/>
          <w:szCs w:val="21"/>
          <w:u w:val="single"/>
        </w:rPr>
        <w:t xml:space="preserve">                                                                                 </w:t>
      </w:r>
      <w:r>
        <w:rPr>
          <w:rFonts w:hint="eastAsia"/>
          <w:szCs w:val="21"/>
        </w:rPr>
        <w:t>。</w:t>
      </w:r>
    </w:p>
    <w:p>
      <w:pPr>
        <w:adjustRightInd w:val="0"/>
        <w:snapToGrid w:val="0"/>
        <w:spacing w:line="300"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00" w:lineRule="auto"/>
        <w:jc w:val="center"/>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温州银行“金鹿理财-温盈”</w:t>
      </w:r>
      <w:r>
        <w:rPr>
          <w:rFonts w:ascii="黑体" w:eastAsia="黑体"/>
          <w:color w:val="000000"/>
          <w:sz w:val="30"/>
          <w:szCs w:val="30"/>
          <w:u w:val="single"/>
        </w:rPr>
        <w:t>19006</w:t>
      </w:r>
      <w:r>
        <w:rPr>
          <w:rFonts w:hint="eastAsia" w:ascii="黑体" w:eastAsia="黑体"/>
          <w:sz w:val="30"/>
          <w:szCs w:val="30"/>
        </w:rPr>
        <w:t>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color w:val="000000"/>
          <w:sz w:val="18"/>
          <w:szCs w:val="18"/>
        </w:rPr>
        <w:t>温盈”19006号开放式净值型银行理财计划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20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0160" b="17145"/>
                <wp:wrapNone/>
                <wp:docPr id="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SejezNkAAAAIAQAADwAAAAAAAAABACAAAAAiAAAAZHJzL2Rvd25yZXYueG1sUEsBAhQA&#10;FAAAAAgAh07iQIgfYry4AQAAhAMAAA4AAAAAAAAAAQAgAAAAKAEAAGRycy9lMm9Eb2MueG1sUEsF&#10;BgAAAAAGAAYAWQEAAFIFA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g">
            <w:drawing>
              <wp:inline distT="0" distB="0" distL="114300" distR="114300">
                <wp:extent cx="3929380" cy="1896110"/>
                <wp:effectExtent l="0" t="0" r="13970" b="8890"/>
                <wp:docPr id="21"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12" name="Picture 3"/>
                        <wps:cNvSpPr>
                          <a:spLocks noChangeAspect="1" noTextEdit="1"/>
                        </wps:cNvSpPr>
                        <wps:spPr>
                          <a:xfrm>
                            <a:off x="0" y="0"/>
                            <a:ext cx="6188" cy="2986"/>
                          </a:xfrm>
                          <a:prstGeom prst="rect">
                            <a:avLst/>
                          </a:prstGeom>
                          <a:noFill/>
                          <a:ln>
                            <a:noFill/>
                          </a:ln>
                        </wps:spPr>
                        <wps:bodyPr upright="1"/>
                      </wps:wsp>
                      <wps:wsp>
                        <wps:cNvPr id="13"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wps:wsp>
                      <wps:wsp>
                        <wps:cNvPr id="14"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wps:wsp>
                      <wps:wsp>
                        <wps:cNvPr id="15"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upright="1"/>
                      </wps:wsp>
                      <wps:wsp>
                        <wps:cNvPr id="16"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upright="1"/>
                      </wps:wsp>
                      <wps:wsp>
                        <wps:cNvPr id="17"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upright="1"/>
                      </wps:wsp>
                      <wps:wsp>
                        <wps:cNvPr id="18"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upright="1"/>
                      </wps:wsp>
                      <wps:wsp>
                        <wps:cNvPr id="19"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upright="1"/>
                      </wps:wsp>
                      <wps:wsp>
                        <wps:cNvPr id="20"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">
                <o:lock v:ext="edit" rotation="t" aspectratio="f"/>
                <v:rect id="Picture 3" o:spid="_x0000_s1026" o:spt="1" style="position:absolute;left:0;top:0;height:2986;width:6188;" filled="f" stroked="f" coordsize="21600,21600" o:gfxdata="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PoZ/8ugAAANsA&#10;AAAPAAAAAAAAAAEAIAAAACIAAABkcnMvZG93bnJldi54bWxQSwECFAAUAAAACACHTuJAMy8FnjsA&#10;AAA5AAAAEAAAAAAAAAABACAAAAAJAQAAZHJzL3NoYXBleG1sLnhtbFBLBQYAAAAABgAGAFsBAACz&#10;Aw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mXti3LwAAADb&#10;AAAADwAAAGRycy9kb3ducmV2LnhtbEVPS2vCQBC+F/oflil4q5soSEhdPQgWwUcxlqK3ITsmodnZ&#10;sLtq/PddQehtPr7nTOe9acWVnG8sK0iHCQji0uqGKwXfh+V7BsIHZI2tZVJwJw/z2evLFHNtb7yn&#10;axEqEUPY56igDqHLpfRlTQb90HbEkTtbZzBE6CqpHd5iuGnlKEkm0mDDsaHGjhY1lb/FxSjYb5br&#10;7Gd96Ut3+kx3h6/N9ugzpQZvafIBIlAf/sVP90rH+WN4/BIPkLM/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Jl7Yty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bEncdLwAAADb&#10;AAAADwAAAGRycy9kb3ducmV2LnhtbEVPTWvCQBC9F/wPywje6ibFFpu6epAWPJWqRehtyE6TaHY2&#10;3R2N9de7QqG3ebzPmS3OrlUnCrHxbCAfZ6CIS28brgx8bt/up6CiIFtsPZOBX4qwmA/uZlhY3/Oa&#10;ThupVArhWKCBWqQrtI5lTQ7j2HfEifv2waEkGCptA/Yp3LX6IcuetMOGU0ONHS1rKg+bozPwvO0f&#10;/Uc47CZ58/N1ed1Lt3oXY0bDPHsBJXSWf/Gfe2XT/AncfkkH6PkV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GxJ3HS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leu9CboAAADb&#10;AAAADwAAAGRycy9kb3ducmV2LnhtbEVPPW/CMBDdK/EfrENiKzZURRAwDCAqOkJY2I74SALxOYoN&#10;BH59XQmJ7Z7e580Wra3EjRpfOtYw6CsQxJkzJeca9un6cwzCB2SDlWPS8CAPi3nnY4aJcXfe0m0X&#10;chFD2CeooQihTqT0WUEWfd/VxJE7ucZiiLDJpWnwHsNtJYdKjaTFkmNDgTUtC8ouu6vVcCyHe3xu&#10;0x9lJ+uv8Num5+thpXWvO1BTEIHa8Ba/3BsT53/D/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V670J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erRSprwAAADb&#10;AAAADwAAAGRycy9kb3ducmV2LnhtbEVPTWvCQBC9C/6HZYTedJOAIU1dPaiV9iI2DZ6H7JgEs7Mh&#10;u1Xz77uFgrd5vM9ZbR6mEzcaXGtZQbyIQBBXVrdcKyi/3+cZCOeRNXaWScFIDjbr6WSFubZ3/qJb&#10;4WsRQtjlqKDxvs+ldFVDBt3C9sSBu9jBoA9wqKUe8B7CTSeTKEqlwZZDQ4M9bRuqrsWPUXAo+89r&#10;sR2T7Hha7otsd369HM9Kvczi6A2Ep4d/iv/dHzrMT+Hvl3CAXP8C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q0Uqa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CnWG5boAAADb&#10;AAAADwAAAGRycy9kb3ducmV2LnhtbEVPPW/CMBDdK/EfrENiKzZUKhAwDCAqOkJY2I74SALxOYoN&#10;BH59XQmJ7Z7e580Wra3EjRpfOtYw6CsQxJkzJeca9un6cwzCB2SDlWPS8CAPi3nnY4aJcXfe0m0X&#10;chFD2CeooQihTqT0WUEWfd/VxJE7ucZiiLDJpWnwHsNtJYdKfUuLJceGAmtaFpRddler4VgO9/jc&#10;pj/KTtZf4bdNz9fDSuted6CmIAK14S1+uTcmzh/B/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KdYbl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e+oSl7wAAADb&#10;AAAADwAAAGRycy9kb3ducmV2LnhtbEWPQW/CMAyF75P4D5En7TYSmDRBIXAYArEjlAs305i20DhV&#10;E6Dbr58Pk7jZes/vfZ4ve9+oO3WxDmxhNDSgiIvgai4tHPL1+wRUTMgOm8Bk4YciLBeDlzlmLjx4&#10;R/d9KpWEcMzQQpVSm2kdi4o8xmFoiUU7h85jkrUrtevwIeG+0WNjPrXHmqWhwpa+Kiqu+5u3cKrH&#10;B/zd5Rvjp+uP9N3nl9txZe3b68jMQCXq09P8f711gi+w8osMoBd/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vqEpe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FKa3DLsAAADb&#10;AAAADwAAAGRycy9kb3ducmV2LnhtbEVPPW/CMBDdK/EfrEPqVmxSqYIUwwAKascQFrZrfCSB+BzF&#10;hqT99XWlSmz39D5vtRltK+7U+8axhvlMgSAunWm40nAsspcFCB+QDbaOScM3edisJ08rTI0bOKf7&#10;IVQihrBPUUMdQpdK6cuaLPqZ64gjd3a9xRBhX0nT4xDDbSsTpd6kxYZjQ40dbWsqr4eb1fDVJEf8&#10;yYu9ssvsNXyOxeV22mn9PJ2rdxCBxvAQ/7s/TJy/hL9f4gFy/Qt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FKa3DLsAAADb&#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aLcClLgAAADb&#10;AAAADwAAAGRycy9kb3ducmV2LnhtbEVPy4rCMBTdD/gP4QruxsRX0Wp0IQiC48IHuL0017bY3NQm&#10;av37yUJweTjvxaq1lXhS40vHGgZ9BYI4c6bkXMP5tPmdgvAB2WDlmDS8ycNq2flZYGrciw/0PIZc&#10;xBD2KWooQqhTKX1WkEXfdzVx5K6usRgibHJpGnzFcFvJoVKJtFhybCiwpnVB2e34sBowGZv7/jr6&#10;O+0eCc7yVm0mF6V1rztQcxCB2vAVf9xbo2EY18cv8QfI5T9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aLcClLgAAADbAAAA&#10;DwAAAAAAAAABACAAAAAiAAAAZHJzL2Rvd25yZXYueG1sUEsBAhQAFAAAAAgAh07iQDMvBZ47AAAA&#10;OQAAABAAAAAAAAAAAQAgAAAABwEAAGRycy9zaGFwZXhtbC54bWxQSwUGAAAAAAYABgBbAQAAsQMA&#10;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8"/>
        <w:tblpPr w:leftFromText="180" w:rightFromText="180" w:vertAnchor="text" w:horzAnchor="page" w:tblpX="1239" w:tblpY="320"/>
        <w:tblOverlap w:val="never"/>
        <w:tblW w:w="94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“金鹿理财-温盈”</w:t>
            </w:r>
            <w:r>
              <w:rPr>
                <w:color w:val="000000"/>
                <w:sz w:val="18"/>
                <w:szCs w:val="18"/>
                <w:u w:val="single"/>
              </w:rPr>
              <w:t>19006</w:t>
            </w:r>
            <w:r>
              <w:rPr>
                <w:rFonts w:hint="eastAsia"/>
                <w:sz w:val="18"/>
                <w:szCs w:val="18"/>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color w:val="000000"/>
                <w:sz w:val="18"/>
                <w:szCs w:val="18"/>
              </w:rPr>
              <w:t>YJ</w:t>
            </w:r>
            <w:r>
              <w:rPr>
                <w:color w:val="000000"/>
                <w:sz w:val="18"/>
                <w:szCs w:val="18"/>
              </w:rPr>
              <w:t>1006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Ansi="Calibri"/>
                <w:sz w:val="18"/>
                <w:szCs w:val="18"/>
              </w:rPr>
            </w:pPr>
            <w:r>
              <w:rPr>
                <w:rFonts w:hint="eastAsia" w:hAnsi="Calibri"/>
                <w:sz w:val="18"/>
                <w:szCs w:val="18"/>
              </w:rPr>
              <w:t>C1092219000300</w:t>
            </w:r>
          </w:p>
          <w:p>
            <w:pPr>
              <w:pStyle w:val="13"/>
              <w:adjustRightInd w:val="0"/>
              <w:snapToGrid w:val="0"/>
              <w:spacing w:before="0" w:beforeAutospacing="0" w:after="0" w:afterAutospacing="0" w:line="288" w:lineRule="auto"/>
              <w:jc w:val="center"/>
              <w:rPr>
                <w:rFonts w:hAnsi="Calibri"/>
                <w:sz w:val="18"/>
                <w:szCs w:val="18"/>
              </w:rPr>
            </w:pPr>
            <w:r>
              <w:rPr>
                <w:rFonts w:hAnsi="Calibri"/>
                <w:sz w:val="18"/>
                <w:szCs w:val="18"/>
              </w:rPr>
              <w:t>(投资者可登录中国理财网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上限10亿份，首个投资运作周期发行规模不超过2亿份。若产品发行规模超出上限，银行有权暂停接受认购（申购）申请。（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首次认购期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u w:val="single"/>
              </w:rPr>
            </w:pPr>
            <w:r>
              <w:rPr>
                <w:rFonts w:hint="eastAsia"/>
                <w:sz w:val="18"/>
                <w:szCs w:val="18"/>
                <w:u w:val="single"/>
              </w:rPr>
              <w:t>2019年7月4日至2019年7月9日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w:t>
            </w:r>
            <w:r>
              <w:rPr>
                <w:rFonts w:cs="Times New Roman"/>
                <w:sz w:val="18"/>
                <w:szCs w:val="18"/>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color w:val="000000"/>
                <w:sz w:val="18"/>
                <w:szCs w:val="18"/>
              </w:rPr>
              <w:t>首个投资运作周期的业绩比较基准为4.</w:t>
            </w:r>
            <w:r>
              <w:rPr>
                <w:rFonts w:cs="Times New Roman"/>
                <w:color w:val="000000"/>
                <w:sz w:val="18"/>
                <w:szCs w:val="18"/>
              </w:rPr>
              <w:t>65</w:t>
            </w:r>
            <w:r>
              <w:rPr>
                <w:rFonts w:hint="eastAsia" w:cs="Times New Roman"/>
                <w:color w:val="000000"/>
                <w:sz w:val="18"/>
                <w:szCs w:val="18"/>
              </w:rPr>
              <w:t>%（年化）</w:t>
            </w:r>
            <w:r>
              <w:rPr>
                <w:rFonts w:cs="Times New Roman"/>
                <w:sz w:val="18"/>
                <w:szCs w:val="18"/>
              </w:rPr>
              <w:t>。</w:t>
            </w:r>
            <w:r>
              <w:rPr>
                <w:rFonts w:hint="eastAsia" w:cs="Times New Roman"/>
                <w:sz w:val="18"/>
                <w:szCs w:val="18"/>
              </w:rPr>
              <w:t>温州</w:t>
            </w:r>
            <w:r>
              <w:rPr>
                <w:rFonts w:cs="Times New Roman"/>
                <w:sz w:val="18"/>
                <w:szCs w:val="18"/>
              </w:rPr>
              <w:t>银行有权在</w:t>
            </w:r>
            <w:r>
              <w:rPr>
                <w:rFonts w:hint="eastAsia" w:cs="Times New Roman"/>
                <w:sz w:val="18"/>
                <w:szCs w:val="18"/>
              </w:rPr>
              <w:t>每个</w:t>
            </w:r>
            <w:r>
              <w:rPr>
                <w:rFonts w:cs="Times New Roman"/>
                <w:sz w:val="18"/>
                <w:szCs w:val="18"/>
              </w:rPr>
              <w:t>开放</w:t>
            </w:r>
            <w:r>
              <w:rPr>
                <w:rFonts w:hint="eastAsia" w:cs="Times New Roman"/>
                <w:sz w:val="18"/>
                <w:szCs w:val="18"/>
              </w:rPr>
              <w:t>期</w:t>
            </w:r>
            <w:r>
              <w:rPr>
                <w:rFonts w:cs="Times New Roman"/>
                <w:sz w:val="18"/>
                <w:szCs w:val="18"/>
              </w:rPr>
              <w:t>前</w:t>
            </w:r>
            <w:r>
              <w:rPr>
                <w:rFonts w:hint="eastAsia" w:cs="Times New Roman"/>
                <w:sz w:val="18"/>
                <w:szCs w:val="18"/>
              </w:rPr>
              <w:t>，根据市场情况进行调整，该</w:t>
            </w:r>
            <w:r>
              <w:rPr>
                <w:rFonts w:cs="Times New Roman"/>
                <w:sz w:val="18"/>
                <w:szCs w:val="18"/>
              </w:rPr>
              <w:t>调整将通过</w:t>
            </w:r>
            <w:r>
              <w:rPr>
                <w:rFonts w:hint="eastAsia" w:cs="Times New Roman"/>
                <w:sz w:val="18"/>
                <w:szCs w:val="18"/>
              </w:rPr>
              <w:t>温州银行官方网站或电子银行等信息平台进行</w:t>
            </w:r>
            <w:r>
              <w:rPr>
                <w:rFonts w:cs="Times New Roman"/>
                <w:sz w:val="18"/>
                <w:szCs w:val="18"/>
              </w:rPr>
              <w:t>信息</w:t>
            </w:r>
            <w:r>
              <w:rPr>
                <w:rFonts w:hint="eastAsia" w:cs="Times New Roman"/>
                <w:sz w:val="18"/>
                <w:szCs w:val="18"/>
              </w:rPr>
              <w:t>披露</w:t>
            </w:r>
            <w:r>
              <w:rPr>
                <w:rFonts w:cs="Times New Roman"/>
                <w:sz w:val="18"/>
                <w:szCs w:val="18"/>
              </w:rPr>
              <w:t>。</w:t>
            </w:r>
          </w:p>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olor w:val="000000"/>
                <w:sz w:val="18"/>
                <w:szCs w:val="18"/>
              </w:rPr>
              <w:t>本理财计划成立日为20</w:t>
            </w:r>
            <w:r>
              <w:rPr>
                <w:color w:val="000000"/>
                <w:sz w:val="18"/>
                <w:szCs w:val="18"/>
              </w:rPr>
              <w:t>19</w:t>
            </w:r>
            <w:r>
              <w:rPr>
                <w:rFonts w:hint="eastAsia"/>
                <w:color w:val="000000"/>
                <w:sz w:val="18"/>
                <w:szCs w:val="18"/>
              </w:rPr>
              <w:t>年</w:t>
            </w:r>
            <w:r>
              <w:rPr>
                <w:color w:val="000000"/>
                <w:sz w:val="18"/>
                <w:szCs w:val="18"/>
              </w:rPr>
              <w:t>7</w:t>
            </w:r>
            <w:r>
              <w:rPr>
                <w:rFonts w:hint="eastAsia"/>
                <w:color w:val="000000"/>
                <w:sz w:val="18"/>
                <w:szCs w:val="18"/>
              </w:rPr>
              <w:t>月1</w:t>
            </w:r>
            <w:r>
              <w:rPr>
                <w:color w:val="000000"/>
                <w:sz w:val="18"/>
                <w:szCs w:val="18"/>
              </w:rPr>
              <w:t>0</w:t>
            </w:r>
            <w:r>
              <w:rPr>
                <w:rFonts w:hint="eastAsia"/>
                <w:color w:val="000000"/>
                <w:sz w:val="18"/>
                <w:szCs w:val="18"/>
              </w:rPr>
              <w:t>日。温州银行有权根据实际募集情况选择产品提前成立，若温州银行采取以上措施，温州银行将就产品相应要素的调整事宜于提前成立日前的一个工作日在温州银行网站予以公告。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rPr>
              <w:t>认购期结束，如出现国家金融政策重大调整、市场发生剧烈波动等不利情形时，温州银行经合理判断有权延长认购期或宣布产品不成立。延长认购期时，理财成立日、理财期限等需要相应调整。若温州银行采取以上措施，温州银行将就相关调整事宜于认购期结束后第一个工作日在温州银行网站予以公告。产品不成立时，理财本金将不会于理财成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sz w:val="18"/>
                <w:szCs w:val="18"/>
              </w:rPr>
            </w:pPr>
            <w:r>
              <w:rPr>
                <w:rFonts w:ascii="宋体" w:hAnsi="宋体"/>
                <w:kern w:val="0"/>
                <w:sz w:val="18"/>
              </w:rPr>
              <w:t>本理财</w:t>
            </w:r>
            <w:r>
              <w:rPr>
                <w:rFonts w:hint="eastAsia" w:ascii="宋体" w:hAnsi="宋体"/>
                <w:kern w:val="0"/>
                <w:sz w:val="18"/>
              </w:rPr>
              <w:t>计划</w:t>
            </w:r>
            <w:r>
              <w:rPr>
                <w:rFonts w:ascii="宋体" w:hAnsi="宋体"/>
                <w:kern w:val="0"/>
                <w:sz w:val="18"/>
              </w:rPr>
              <w:t>存续期为</w:t>
            </w:r>
            <w:r>
              <w:rPr>
                <w:rFonts w:hint="eastAsia" w:ascii="宋体" w:hAnsi="宋体"/>
                <w:kern w:val="0"/>
                <w:sz w:val="18"/>
              </w:rPr>
              <w:t>10</w:t>
            </w:r>
            <w:r>
              <w:rPr>
                <w:rFonts w:ascii="宋体" w:hAnsi="宋体"/>
                <w:kern w:val="0"/>
                <w:sz w:val="18"/>
              </w:rPr>
              <w:t>年。存续期指本理财产品成立日至到期日的理财期间。</w:t>
            </w:r>
            <w:r>
              <w:rPr>
                <w:rFonts w:hint="eastAsia" w:ascii="宋体" w:hAnsi="宋体"/>
                <w:kern w:val="0"/>
                <w:sz w:val="18"/>
              </w:rPr>
              <w:t>温州</w:t>
            </w:r>
            <w:r>
              <w:rPr>
                <w:rFonts w:ascii="宋体" w:hAnsi="宋体"/>
                <w:kern w:val="0"/>
                <w:sz w:val="18"/>
              </w:rPr>
              <w:t>银行有权在存续期届满前一个月内选择展期，并通过</w:t>
            </w:r>
            <w:r>
              <w:rPr>
                <w:rFonts w:hint="eastAsia" w:ascii="宋体" w:hAnsi="宋体"/>
                <w:kern w:val="0"/>
                <w:sz w:val="18"/>
              </w:rPr>
              <w:t>温州银行网站</w:t>
            </w:r>
            <w:r>
              <w:rPr>
                <w:rFonts w:ascii="宋体" w:hAnsi="宋体"/>
                <w:kern w:val="0"/>
                <w:sz w:val="18"/>
              </w:rPr>
              <w:t>予以公告。若</w:t>
            </w:r>
            <w:r>
              <w:rPr>
                <w:rFonts w:hint="eastAsia" w:ascii="宋体" w:hAnsi="宋体"/>
                <w:kern w:val="0"/>
                <w:sz w:val="18"/>
              </w:rPr>
              <w:t>温州</w:t>
            </w:r>
            <w:r>
              <w:rPr>
                <w:rFonts w:ascii="宋体" w:hAnsi="宋体"/>
                <w:kern w:val="0"/>
                <w:sz w:val="18"/>
              </w:rPr>
              <w:t>银行未选择展期，则本理财产品</w:t>
            </w:r>
            <w:r>
              <w:rPr>
                <w:rFonts w:hint="eastAsia" w:ascii="宋体" w:hAnsi="宋体"/>
                <w:kern w:val="0"/>
                <w:sz w:val="18"/>
              </w:rPr>
              <w:t>在</w:t>
            </w:r>
            <w:r>
              <w:rPr>
                <w:rFonts w:ascii="宋体" w:hAnsi="宋体"/>
                <w:kern w:val="0"/>
                <w:sz w:val="18"/>
              </w:rPr>
              <w:t>存续期届满</w:t>
            </w:r>
            <w:r>
              <w:rPr>
                <w:rFonts w:hint="eastAsia" w:ascii="宋体" w:hAnsi="宋体"/>
                <w:kern w:val="0"/>
                <w:sz w:val="18"/>
              </w:rPr>
              <w:t>后</w:t>
            </w:r>
            <w:r>
              <w:rPr>
                <w:rFonts w:ascii="宋体" w:hAnsi="宋体"/>
                <w:kern w:val="0"/>
                <w:sz w:val="18"/>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1．本理财产品成立后，按投资周期开放</w:t>
            </w:r>
            <w:r>
              <w:rPr>
                <w:rFonts w:hint="eastAsia" w:ascii="宋体" w:hAnsi="宋体"/>
                <w:sz w:val="18"/>
              </w:rPr>
              <w:t>预约认购（申购）</w:t>
            </w:r>
            <w:r>
              <w:rPr>
                <w:rFonts w:ascii="宋体" w:hAnsi="宋体"/>
                <w:sz w:val="18"/>
              </w:rPr>
              <w:t>、预约赎回和</w:t>
            </w:r>
            <w:r>
              <w:rPr>
                <w:rFonts w:hint="eastAsia" w:ascii="宋体" w:hAnsi="宋体"/>
                <w:sz w:val="18"/>
              </w:rPr>
              <w:t>理财分红</w:t>
            </w:r>
            <w:r>
              <w:rPr>
                <w:rFonts w:ascii="宋体" w:hAnsi="宋体"/>
                <w:sz w:val="18"/>
              </w:rPr>
              <w:t>。每一个投资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p>
          <w:p>
            <w:pPr>
              <w:autoSpaceDN w:val="0"/>
              <w:rPr>
                <w:rFonts w:ascii="宋体" w:hAnsi="宋体"/>
                <w:sz w:val="24"/>
              </w:rPr>
            </w:pPr>
            <w:r>
              <w:rPr>
                <w:rFonts w:ascii="宋体" w:hAnsi="宋体"/>
                <w:sz w:val="18"/>
              </w:rPr>
              <w:t>2．本理财产品一个投资周期为</w:t>
            </w:r>
            <w:r>
              <w:rPr>
                <w:rFonts w:hint="eastAsia" w:ascii="宋体" w:hAnsi="宋体"/>
                <w:sz w:val="18"/>
              </w:rPr>
              <w:t>【273】</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sz w:val="18"/>
              </w:rPr>
              <w:t>【273】</w:t>
            </w:r>
            <w:r>
              <w:rPr>
                <w:rFonts w:ascii="宋体" w:hAnsi="宋体"/>
                <w:sz w:val="18"/>
              </w:rPr>
              <w:t>天。投资周期终止日如遇非工作日则</w:t>
            </w:r>
            <w:r>
              <w:rPr>
                <w:rFonts w:hint="eastAsia" w:ascii="宋体" w:hAnsi="宋体"/>
                <w:sz w:val="18"/>
              </w:rPr>
              <w:t>温州</w:t>
            </w:r>
            <w:r>
              <w:rPr>
                <w:rFonts w:ascii="宋体" w:hAnsi="宋体"/>
                <w:sz w:val="18"/>
              </w:rPr>
              <w:t>银行</w:t>
            </w:r>
            <w:r>
              <w:rPr>
                <w:rFonts w:hint="eastAsia" w:ascii="宋体" w:hAnsi="宋体"/>
                <w:sz w:val="18"/>
              </w:rPr>
              <w:t>将</w:t>
            </w:r>
            <w:r>
              <w:rPr>
                <w:rFonts w:ascii="宋体" w:hAnsi="宋体"/>
                <w:sz w:val="18"/>
              </w:rPr>
              <w:t>做相应调整</w:t>
            </w:r>
            <w:r>
              <w:rPr>
                <w:rFonts w:ascii="宋体" w:hAnsi="宋体"/>
                <w:kern w:val="0"/>
                <w:sz w:val="18"/>
              </w:rPr>
              <w:t>。</w:t>
            </w:r>
            <w:r>
              <w:rPr>
                <w:rFonts w:hint="eastAsia" w:ascii="宋体" w:hAnsi="宋体"/>
                <w:kern w:val="0"/>
                <w:sz w:val="18"/>
              </w:rPr>
              <w:t>每个投资运作周期的相关产品要素及具体日期请参照</w:t>
            </w:r>
            <w:r>
              <w:rPr>
                <w:rFonts w:hint="eastAsia"/>
                <w:sz w:val="18"/>
                <w:szCs w:val="18"/>
              </w:rPr>
              <w:t>《温州银行“金鹿理财-</w:t>
            </w:r>
            <w:r>
              <w:rPr>
                <w:rFonts w:hint="eastAsia"/>
                <w:color w:val="000000"/>
                <w:sz w:val="18"/>
                <w:szCs w:val="18"/>
              </w:rPr>
              <w:t>温盈”19006号开放式净值型（第</w:t>
            </w:r>
            <w:r>
              <w:rPr>
                <w:rFonts w:hint="eastAsia"/>
                <w:sz w:val="18"/>
                <w:szCs w:val="18"/>
              </w:rPr>
              <w:t>i期）银行理财计划开放认购（申购）申请书》</w:t>
            </w:r>
            <w:r>
              <w:rPr>
                <w:rFonts w:ascii="宋体" w:hAnsi="宋体"/>
                <w:sz w:val="18"/>
              </w:rPr>
              <w:t>所载明的</w:t>
            </w:r>
            <w:r>
              <w:rPr>
                <w:rFonts w:hint="eastAsia" w:ascii="宋体" w:hAnsi="宋体"/>
                <w:sz w:val="18"/>
              </w:rPr>
              <w:t>产品要素</w:t>
            </w:r>
            <w:r>
              <w:rPr>
                <w:rFonts w:ascii="宋体" w:hAnsi="宋体"/>
                <w:sz w:val="18"/>
              </w:rPr>
              <w:t>为准。</w:t>
            </w:r>
            <w:r>
              <w:rPr>
                <w:rFonts w:hint="eastAsia" w:ascii="宋体" w:hAnsi="宋体"/>
                <w:sz w:val="18"/>
              </w:rPr>
              <w:t>温州</w:t>
            </w:r>
            <w:r>
              <w:rPr>
                <w:rFonts w:ascii="宋体" w:hAnsi="宋体"/>
                <w:sz w:val="18"/>
              </w:rPr>
              <w:t>银行有权</w:t>
            </w:r>
            <w:r>
              <w:rPr>
                <w:rFonts w:hint="eastAsia" w:ascii="宋体" w:hAnsi="宋体"/>
                <w:sz w:val="18"/>
              </w:rPr>
              <w:t>根据市场情况</w:t>
            </w:r>
            <w:r>
              <w:rPr>
                <w:rFonts w:ascii="宋体" w:hAnsi="宋体"/>
                <w:sz w:val="18"/>
              </w:rPr>
              <w:t>调整投资周期，调整后的投资周期</w:t>
            </w:r>
            <w:r>
              <w:rPr>
                <w:rFonts w:hint="eastAsia" w:ascii="宋体" w:hAnsi="宋体"/>
                <w:sz w:val="18"/>
              </w:rPr>
              <w:t>等相关事宜将在温州</w:t>
            </w:r>
            <w:r>
              <w:rPr>
                <w:rFonts w:ascii="宋体" w:hAnsi="宋体"/>
                <w:sz w:val="18"/>
              </w:rPr>
              <w:t>银行网站</w:t>
            </w:r>
            <w:r>
              <w:rPr>
                <w:rFonts w:hint="eastAsia" w:ascii="宋体" w:hAnsi="宋体"/>
                <w:sz w:val="18"/>
              </w:rPr>
              <w:t>予以</w:t>
            </w:r>
            <w:r>
              <w:rPr>
                <w:rFonts w:ascii="宋体" w:hAnsi="宋体"/>
                <w:sz w:val="18"/>
              </w:rPr>
              <w:t>公告。</w:t>
            </w:r>
          </w:p>
          <w:p>
            <w:pPr>
              <w:autoSpaceDN w:val="0"/>
              <w:rPr>
                <w:rFonts w:ascii="宋体" w:hAnsi="宋体"/>
                <w:sz w:val="24"/>
              </w:rPr>
            </w:pPr>
            <w:r>
              <w:rPr>
                <w:rFonts w:ascii="宋体" w:hAnsi="宋体"/>
                <w:sz w:val="18"/>
              </w:rPr>
              <w:t>3. 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申请。本理财产品按投资周期开放赎回，</w:t>
            </w:r>
            <w:r>
              <w:rPr>
                <w:rFonts w:hint="eastAsia" w:ascii="宋体" w:hAnsi="宋体"/>
                <w:sz w:val="18"/>
              </w:rPr>
              <w:t>投资者</w:t>
            </w:r>
            <w:r>
              <w:rPr>
                <w:rFonts w:ascii="宋体" w:hAnsi="宋体"/>
                <w:sz w:val="18"/>
              </w:rPr>
              <w:t>可以在一个投资周期的预约赎回期内提出赎回申请，赎回确认日为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返还客户赎回本金和当期投资周期理财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认购</w:t>
            </w:r>
            <w:r>
              <w:rPr>
                <w:rFonts w:hint="eastAsia"/>
                <w:sz w:val="18"/>
                <w:szCs w:val="18"/>
              </w:rPr>
              <w:t>（申购）</w:t>
            </w:r>
            <w:r>
              <w:rPr>
                <w:rFonts w:hint="eastAsia" w:ascii="宋体" w:hAnsi="宋体"/>
                <w:sz w:val="18"/>
              </w:rPr>
              <w:t>资金对应的</w:t>
            </w:r>
            <w:r>
              <w:rPr>
                <w:rFonts w:ascii="宋体" w:hAnsi="宋体"/>
                <w:sz w:val="18"/>
              </w:rPr>
              <w:t>投资周期</w:t>
            </w:r>
            <w:r>
              <w:rPr>
                <w:rFonts w:hint="eastAsia" w:ascii="宋体" w:hAnsi="宋体"/>
                <w:sz w:val="18"/>
              </w:rPr>
              <w:t>内</w:t>
            </w:r>
            <w:r>
              <w:rPr>
                <w:rFonts w:ascii="宋体" w:hAnsi="宋体"/>
                <w:sz w:val="18"/>
              </w:rPr>
              <w:t>的</w:t>
            </w:r>
            <w:r>
              <w:rPr>
                <w:rFonts w:hint="eastAsia" w:ascii="宋体" w:hAnsi="宋体"/>
                <w:sz w:val="18"/>
              </w:rPr>
              <w:t>预约</w:t>
            </w:r>
            <w:r>
              <w:rPr>
                <w:rFonts w:ascii="宋体" w:hAnsi="宋体"/>
                <w:sz w:val="18"/>
              </w:rPr>
              <w:t>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该投资周期理财收益</w:t>
            </w:r>
            <w:r>
              <w:rPr>
                <w:rFonts w:hint="eastAsia" w:ascii="宋体" w:hAnsi="宋体"/>
                <w:sz w:val="18"/>
              </w:rPr>
              <w:t>清算</w:t>
            </w:r>
            <w:r>
              <w:rPr>
                <w:rFonts w:ascii="宋体" w:hAnsi="宋体"/>
                <w:sz w:val="18"/>
              </w:rPr>
              <w:t>。</w:t>
            </w:r>
          </w:p>
          <w:p>
            <w:pPr>
              <w:autoSpaceDN w:val="0"/>
              <w:rPr>
                <w:sz w:val="18"/>
                <w:szCs w:val="18"/>
              </w:rPr>
            </w:pPr>
            <w:r>
              <w:rPr>
                <w:rFonts w:hint="eastAsia" w:ascii="宋体" w:hAnsi="宋体"/>
                <w:sz w:val="18"/>
              </w:rPr>
              <w:t>4</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w:t>
            </w:r>
            <w:r>
              <w:rPr>
                <w:rFonts w:hint="eastAsia"/>
                <w:sz w:val="18"/>
                <w:szCs w:val="18"/>
              </w:rPr>
              <w:t>（申购）</w:t>
            </w:r>
            <w:r>
              <w:rPr>
                <w:rFonts w:hint="eastAsia" w:ascii="宋体" w:hAnsi="宋体"/>
                <w:sz w:val="18"/>
              </w:rPr>
              <w:t>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认购（申购）上限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单一投资者累计最大购买金额2000万元。</w:t>
            </w:r>
          </w:p>
          <w:p>
            <w:pPr>
              <w:autoSpaceDN w:val="0"/>
              <w:jc w:val="left"/>
              <w:rPr>
                <w:rFonts w:ascii="宋体" w:hAnsi="宋体"/>
                <w:sz w:val="18"/>
              </w:rPr>
            </w:pPr>
            <w:r>
              <w:rPr>
                <w:rFonts w:hint="eastAsia" w:ascii="宋体" w:hAnsi="宋体"/>
                <w:sz w:val="18"/>
              </w:rPr>
              <w:t>单一投资者持有份额不得超过总份额的50%，非因投资管理人主观因素导致突破前款规定比例限制的，在单一投资者持有比例降至50％以下之前，管理人有权不再接受该投资者对该理财产品的申购申请，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最高不超过</w:t>
            </w:r>
            <w:r>
              <w:rPr>
                <w:sz w:val="18"/>
                <w:szCs w:val="18"/>
              </w:rPr>
              <w:t>0.</w:t>
            </w:r>
            <w:r>
              <w:rPr>
                <w:rFonts w:hint="eastAsia"/>
                <w:sz w:val="18"/>
                <w:szCs w:val="18"/>
              </w:rPr>
              <w:t>8</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在本理财产品扣除产品固定管理费及托管费等各项费用后,每日对比投资周期起始日至当日的累计单位净值年化增长率与业绩比较基准，投资管理人收取相应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6"/>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单位净值为提取相关费用后的单位理财产品份额净值，单位净值=理财产品估值日理财产品总净值/产品总份额。理财产品总净值=理财产品认购</w:t>
            </w:r>
            <w:r>
              <w:rPr>
                <w:rFonts w:hint="eastAsia" w:ascii="宋体" w:hAnsi="宋体"/>
                <w:sz w:val="18"/>
              </w:rPr>
              <w:t>（申购）</w:t>
            </w:r>
            <w:r>
              <w:rPr>
                <w:rFonts w:hint="eastAsia" w:ascii="宋体" w:hAnsi="宋体"/>
                <w:kern w:val="0"/>
                <w:sz w:val="18"/>
                <w:szCs w:val="18"/>
              </w:rPr>
              <w:t>总额-理财产品赎回总额+理财产品所获总收益-理财产品总费用（包括但不限于固定管理费、浮动管理费、托管费及</w:t>
            </w:r>
            <w:r>
              <w:rPr>
                <w:rFonts w:hint="eastAsia"/>
                <w:sz w:val="18"/>
                <w:szCs w:val="18"/>
              </w:rPr>
              <w:t>税费、</w:t>
            </w:r>
            <w:r>
              <w:rPr>
                <w:rFonts w:hint="eastAsia" w:ascii="宋体" w:hAnsi="宋体"/>
                <w:kern w:val="0"/>
                <w:sz w:val="18"/>
                <w:szCs w:val="18"/>
              </w:rPr>
              <w:t>其他费用等）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center"/>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理财本金在理财计划成立日/投资周期起始日前交存于温州银行的，按当时实行的活期利率计息。赎回清算日到理财资金返还到账日为还本清算期，还本清算期内不计付利息和收益。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主要将理财产品募集资金直接或间接配置于存款、债券回购、货币市场工具、债券等固定收益类资产，部分可投资于权益类资产。具体包括但不限于银行间市场和证券交易所市场债权性资产、非标准化债权资产、公募基金、资产管理计划、信托计划、各类受（收）益权、资产支持证券、票据资产、债券型基金、股票型基金、证券投资基金、债券借贷，及其他符合监管要求的投资标的和资产组合。与交易对手开展买入返售交易的，可接受押品的资质要求应该符合本产品的说明书关于投资范围的约定。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8"/>
        <w:tblW w:w="9400" w:type="dxa"/>
        <w:jc w:val="center"/>
        <w:tblLayout w:type="fixed"/>
        <w:tblCellMar>
          <w:top w:w="0" w:type="dxa"/>
          <w:left w:w="108" w:type="dxa"/>
          <w:bottom w:w="0" w:type="dxa"/>
          <w:right w:w="108" w:type="dxa"/>
        </w:tblCellMar>
      </w:tblPr>
      <w:tblGrid>
        <w:gridCol w:w="2251"/>
        <w:gridCol w:w="5446"/>
        <w:gridCol w:w="1703"/>
      </w:tblGrid>
      <w:tr>
        <w:tblPrEx>
          <w:tblCellMar>
            <w:top w:w="0" w:type="dxa"/>
            <w:left w:w="108" w:type="dxa"/>
            <w:bottom w:w="0" w:type="dxa"/>
            <w:right w:w="108" w:type="dxa"/>
          </w:tblCellMar>
        </w:tblPrEx>
        <w:trPr>
          <w:trHeight w:val="270" w:hRule="atLeast"/>
          <w:jc w:val="center"/>
        </w:trPr>
        <w:tc>
          <w:tcPr>
            <w:tcW w:w="2251"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446"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251"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25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sz w:val="18"/>
                <w:szCs w:val="18"/>
              </w:rPr>
              <w:t>债券回购、</w:t>
            </w:r>
            <w:r>
              <w:rPr>
                <w:rFonts w:hint="eastAsia" w:ascii="宋体" w:hAnsi="宋体" w:cs="宋体"/>
                <w:color w:val="000000"/>
                <w:kern w:val="0"/>
                <w:sz w:val="18"/>
                <w:szCs w:val="18"/>
              </w:rPr>
              <w:t>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1" w:type="dxa"/>
            <w:tcBorders>
              <w:top w:val="nil"/>
              <w:left w:val="single" w:color="auto" w:sz="4" w:space="0"/>
              <w:bottom w:val="single" w:color="auto"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权益类资产</w:t>
            </w: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股票型基金、证券投资基金以及其他符合监管要求的权益类资产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numPr>
          <w:ilvl w:val="0"/>
          <w:numId w:val="1"/>
        </w:numPr>
        <w:adjustRightInd w:val="0"/>
        <w:snapToGrid w:val="0"/>
        <w:spacing w:line="281" w:lineRule="auto"/>
        <w:rPr>
          <w:bCs/>
          <w:sz w:val="18"/>
          <w:szCs w:val="18"/>
        </w:rPr>
      </w:pPr>
      <w:r>
        <w:rPr>
          <w:rFonts w:hint="eastAsia"/>
          <w:bCs/>
          <w:sz w:val="18"/>
          <w:szCs w:val="18"/>
        </w:rPr>
        <w:t>主要拟投资市场、资产的流动性风险评估</w:t>
      </w:r>
    </w:p>
    <w:p>
      <w:pPr>
        <w:adjustRightInd w:val="0"/>
        <w:snapToGrid w:val="0"/>
        <w:spacing w:line="281" w:lineRule="auto"/>
        <w:rPr>
          <w:bCs/>
          <w:sz w:val="18"/>
          <w:szCs w:val="18"/>
        </w:rPr>
      </w:pPr>
      <w:r>
        <w:rPr>
          <w:rFonts w:hint="eastAsia"/>
          <w:bCs/>
          <w:sz w:val="18"/>
          <w:szCs w:val="18"/>
        </w:rPr>
        <w:t>（1）投资于标准化固收类的可能流动性风险：各类债券、存款、货币基金、债券基金、质押式及买断式回购等标准化资产的交易场所，市场透明度较高，运作方式规范，可支持产品的投资和应对日常申赎的需要。上述资产受限于市场交易活跃度，或当出现风险事件后，可能会难以以合理价格变现，同时市场资金面紧张也可能降低市场参与者的交易意愿，进而带来流动性风险。</w:t>
      </w:r>
    </w:p>
    <w:p>
      <w:pPr>
        <w:adjustRightInd w:val="0"/>
        <w:snapToGrid w:val="0"/>
        <w:spacing w:line="281" w:lineRule="auto"/>
        <w:rPr>
          <w:bCs/>
          <w:sz w:val="18"/>
          <w:szCs w:val="18"/>
        </w:rPr>
      </w:pPr>
      <w:r>
        <w:rPr>
          <w:rFonts w:hint="eastAsia"/>
          <w:bCs/>
          <w:sz w:val="18"/>
          <w:szCs w:val="18"/>
        </w:rPr>
        <w:t>（2）投资于非标准化固定收益类资产的可能流动性风险（如有）：非标准化固定收益类资产项下的基础资产现金流未能及时完整取得而产生信用风险，从而无法如期兑付进一步引发流动性风险。</w:t>
      </w:r>
    </w:p>
    <w:p>
      <w:pPr>
        <w:adjustRightInd w:val="0"/>
        <w:snapToGrid w:val="0"/>
        <w:spacing w:line="281" w:lineRule="auto"/>
        <w:rPr>
          <w:bCs/>
          <w:sz w:val="18"/>
          <w:szCs w:val="18"/>
        </w:rPr>
      </w:pPr>
      <w:r>
        <w:rPr>
          <w:rFonts w:hint="eastAsia"/>
          <w:bCs/>
          <w:sz w:val="18"/>
          <w:szCs w:val="18"/>
        </w:rPr>
        <w:t>（3）投资于权益类资产的可能流动性风险（如有）：权益类资产包括但不限于上市公司普通股、上市公司优先股、股票基金、股票定向增发等，受国家政策、经济周期、利率、汇率、股票发行人经营情况等因素导致的市场风险，可能导致流通与转让限制、市场参与者交易意愿降低、停牌、退市等情形，从而进一步引发流动性风险。</w:t>
      </w:r>
    </w:p>
    <w:p>
      <w:pPr>
        <w:adjustRightInd w:val="0"/>
        <w:snapToGrid w:val="0"/>
        <w:spacing w:line="281" w:lineRule="auto"/>
        <w:rPr>
          <w:sz w:val="18"/>
          <w:szCs w:val="18"/>
        </w:rPr>
      </w:pPr>
      <w:r>
        <w:rPr>
          <w:rFonts w:hint="eastAsia"/>
          <w:bCs/>
          <w:sz w:val="18"/>
          <w:szCs w:val="18"/>
        </w:rPr>
        <w:t>以上风险仅为列举性质，未能详尽列明拟投资市场和资产面临的全部流动性风险可能导致投资者投资本金及收益损失或延期兑付的所有因素。管理人会结合各类标的资产的预期流动性合理进行资产配置，加强流动性管理。</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本产品的托管人为宁波</w:t>
      </w:r>
      <w:r>
        <w:rPr>
          <w:sz w:val="18"/>
          <w:szCs w:val="18"/>
        </w:rPr>
        <w:t>银行股份有限公司</w:t>
      </w:r>
      <w:r>
        <w:rPr>
          <w:rFonts w:hint="eastAsia"/>
          <w:sz w:val="18"/>
          <w:szCs w:val="18"/>
        </w:rPr>
        <w:t>，负责履行国务院银行业监督管理机构规定及托管合同约定的职责，包括但不限于提供包括账户开立、资金保管、资金结算、估值核对、办理与理财产品托管业务活动相关的信息披露事项等理财产品托管服务。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b/>
          <w:bCs/>
          <w:sz w:val="18"/>
          <w:szCs w:val="18"/>
        </w:rPr>
      </w:pPr>
      <w:r>
        <w:rPr>
          <w:rFonts w:hint="eastAsia"/>
          <w:b/>
          <w:bCs/>
          <w:sz w:val="18"/>
          <w:szCs w:val="18"/>
        </w:rPr>
        <w:t>投资合作机构</w:t>
      </w:r>
    </w:p>
    <w:p>
      <w:pPr>
        <w:adjustRightInd w:val="0"/>
        <w:snapToGrid w:val="0"/>
        <w:spacing w:line="286" w:lineRule="auto"/>
        <w:rPr>
          <w:sz w:val="18"/>
          <w:szCs w:val="18"/>
        </w:rPr>
      </w:pPr>
      <w:r>
        <w:rPr>
          <w:rFonts w:hint="eastAsia"/>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ww.wzbank.cn）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rPr>
      </w:pPr>
      <w:r>
        <w:rPr>
          <w:rFonts w:hint="eastAsia"/>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本产品业绩比较基准仅作为计提产品浮动管理费的依据，不构成温州银行对该理财产品的任何收益承诺。</w:t>
      </w:r>
      <w:r>
        <w:rPr>
          <w:sz w:val="18"/>
          <w:szCs w:val="18"/>
        </w:rPr>
        <w:t>本理财产品成立后，</w:t>
      </w:r>
      <w:r>
        <w:rPr>
          <w:rFonts w:hint="eastAsia"/>
          <w:sz w:val="18"/>
          <w:szCs w:val="18"/>
        </w:rPr>
        <w:t>温州</w:t>
      </w:r>
      <w:r>
        <w:rPr>
          <w:sz w:val="18"/>
          <w:szCs w:val="18"/>
        </w:rPr>
        <w:t>银行将至少在投资周期产品预约申购期开始前一个工作日公布本理财产品在</w:t>
      </w:r>
      <w:r>
        <w:rPr>
          <w:rFonts w:hint="eastAsia"/>
          <w:sz w:val="18"/>
          <w:szCs w:val="18"/>
        </w:rPr>
        <w:t>下一</w:t>
      </w:r>
      <w:r>
        <w:rPr>
          <w:sz w:val="18"/>
          <w:szCs w:val="18"/>
        </w:rPr>
        <w:t>投资周期的</w:t>
      </w:r>
      <w:r>
        <w:rPr>
          <w:rFonts w:hint="eastAsia"/>
          <w:sz w:val="18"/>
          <w:szCs w:val="18"/>
        </w:rPr>
        <w:t>业绩比较基准</w:t>
      </w:r>
      <w:r>
        <w:rPr>
          <w:sz w:val="18"/>
          <w:szCs w:val="18"/>
        </w:rPr>
        <w:t>。在该投资周期购买的客户详见</w:t>
      </w:r>
      <w:r>
        <w:rPr>
          <w:rFonts w:hint="eastAsia"/>
          <w:sz w:val="18"/>
          <w:szCs w:val="18"/>
        </w:rPr>
        <w:t>《温州银行“金鹿理财-</w:t>
      </w:r>
      <w:r>
        <w:rPr>
          <w:rFonts w:hint="eastAsia"/>
          <w:color w:val="000000"/>
          <w:sz w:val="18"/>
          <w:szCs w:val="18"/>
        </w:rPr>
        <w:t>温盈”19006号开放式净值型（第</w:t>
      </w:r>
      <w:r>
        <w:rPr>
          <w:rFonts w:hint="eastAsia"/>
          <w:sz w:val="18"/>
          <w:szCs w:val="18"/>
        </w:rPr>
        <w:t>i期）银行理财计划开放认购（申购）申请书》。投资运作周期到期时，该周期内的资金收益情况根据所投资资产组合的实际运作情况确定。</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理财产品单位净值=理财产品净值÷理财产品份额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理财产品单位净值为提取相关费用后的净值，客户按该单位净值进行产品周期清算/到期终止清算时的分配。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1.投资</w:t>
      </w:r>
      <w:r>
        <w:rPr>
          <w:rFonts w:hint="eastAsia"/>
          <w:sz w:val="18"/>
          <w:szCs w:val="18"/>
        </w:rPr>
        <w:t>运作</w:t>
      </w:r>
      <w:r>
        <w:rPr>
          <w:sz w:val="18"/>
          <w:szCs w:val="18"/>
        </w:rPr>
        <w:t>周期</w:t>
      </w:r>
      <w:r>
        <w:rPr>
          <w:rFonts w:hint="eastAsia"/>
          <w:color w:val="000000"/>
          <w:sz w:val="18"/>
          <w:szCs w:val="18"/>
        </w:rPr>
        <w:t>：本理财计划成立日为20</w:t>
      </w:r>
      <w:r>
        <w:rPr>
          <w:color w:val="000000"/>
          <w:sz w:val="18"/>
          <w:szCs w:val="18"/>
        </w:rPr>
        <w:t>19</w:t>
      </w:r>
      <w:r>
        <w:rPr>
          <w:rFonts w:hint="eastAsia"/>
          <w:color w:val="000000"/>
          <w:sz w:val="18"/>
          <w:szCs w:val="18"/>
        </w:rPr>
        <w:t>年</w:t>
      </w:r>
      <w:r>
        <w:rPr>
          <w:color w:val="000000"/>
          <w:sz w:val="18"/>
          <w:szCs w:val="18"/>
        </w:rPr>
        <w:t>7</w:t>
      </w:r>
      <w:r>
        <w:rPr>
          <w:rFonts w:hint="eastAsia"/>
          <w:color w:val="000000"/>
          <w:sz w:val="18"/>
          <w:szCs w:val="18"/>
        </w:rPr>
        <w:t>月1</w:t>
      </w:r>
      <w:r>
        <w:rPr>
          <w:color w:val="000000"/>
          <w:sz w:val="18"/>
          <w:szCs w:val="18"/>
        </w:rPr>
        <w:t>0</w:t>
      </w:r>
      <w:r>
        <w:rPr>
          <w:rFonts w:hint="eastAsia"/>
          <w:color w:val="000000"/>
          <w:sz w:val="18"/>
          <w:szCs w:val="18"/>
        </w:rPr>
        <w:t>日，从成立日起，每</w:t>
      </w:r>
      <w:r>
        <w:rPr>
          <w:rFonts w:hint="eastAsia" w:ascii="宋体" w:hAnsi="宋体"/>
          <w:sz w:val="18"/>
        </w:rPr>
        <w:t>【273】</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sz w:val="18"/>
        </w:rPr>
        <w:t>【273】</w:t>
      </w:r>
      <w:r>
        <w:rPr>
          <w:rFonts w:ascii="宋体" w:hAnsi="宋体"/>
          <w:sz w:val="18"/>
        </w:rPr>
        <w:t>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）因不可抗力导致理财计划无法继续申购或赎回时，温州银行有权拒绝或暂停接受投资者的申购或赎回的申请，对已接受的赎回申请可延期支付赎回款项。</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w:t>
      </w:r>
      <w:r>
        <w:rPr>
          <w:sz w:val="18"/>
          <w:szCs w:val="18"/>
        </w:rPr>
        <w:t>。</w:t>
      </w:r>
    </w:p>
    <w:p>
      <w:pPr>
        <w:adjustRightInd w:val="0"/>
        <w:snapToGrid w:val="0"/>
        <w:spacing w:line="286" w:lineRule="auto"/>
        <w:rPr>
          <w:sz w:val="18"/>
          <w:szCs w:val="18"/>
        </w:rPr>
      </w:pPr>
      <w:r>
        <w:rPr>
          <w:rFonts w:hint="eastAsia"/>
          <w:sz w:val="18"/>
          <w:szCs w:val="18"/>
        </w:rPr>
        <w:t>示例：如果最新理财计划总存续份额为1</w:t>
      </w:r>
      <w:r>
        <w:rPr>
          <w:sz w:val="18"/>
          <w:szCs w:val="18"/>
        </w:rPr>
        <w:t>0</w:t>
      </w:r>
      <w:r>
        <w:rPr>
          <w:rFonts w:hint="eastAsia"/>
          <w:sz w:val="18"/>
          <w:szCs w:val="18"/>
        </w:rPr>
        <w:t>亿份，在开放期内投资者净赎回达到</w:t>
      </w:r>
      <w:r>
        <w:rPr>
          <w:sz w:val="18"/>
          <w:szCs w:val="18"/>
        </w:rPr>
        <w:t>2</w:t>
      </w:r>
      <w:r>
        <w:rPr>
          <w:rFonts w:hint="eastAsia"/>
          <w:sz w:val="18"/>
          <w:szCs w:val="18"/>
        </w:rPr>
        <w:t>亿份，温州银行有权拒绝确认</w:t>
      </w:r>
      <w:r>
        <w:rPr>
          <w:sz w:val="18"/>
          <w:szCs w:val="18"/>
        </w:rPr>
        <w:t>2</w:t>
      </w:r>
      <w:r>
        <w:rPr>
          <w:rFonts w:hint="eastAsia"/>
          <w:sz w:val="18"/>
          <w:szCs w:val="18"/>
        </w:rPr>
        <w:t>亿份之后的赎回申请，相应的投资者当期无法赎回理财计划份额。</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lang w:eastAsia="zh-Hans"/>
        </w:rPr>
        <w:t>千</w:t>
      </w:r>
      <w:r>
        <w:rPr>
          <w:rFonts w:hint="eastAsia"/>
          <w:sz w:val="18"/>
          <w:szCs w:val="18"/>
        </w:rPr>
        <w:t>元或人民币</w:t>
      </w:r>
      <w:r>
        <w:rPr>
          <w:sz w:val="18"/>
          <w:szCs w:val="18"/>
        </w:rPr>
        <w:t>1</w:t>
      </w:r>
      <w:r>
        <w:rPr>
          <w:rFonts w:hint="eastAsia"/>
          <w:sz w:val="18"/>
          <w:szCs w:val="18"/>
          <w:lang w:eastAsia="zh-Hans"/>
        </w:rPr>
        <w:t>千</w:t>
      </w:r>
      <w:r>
        <w:rPr>
          <w:rFonts w:hint="eastAsia"/>
          <w:sz w:val="18"/>
          <w:szCs w:val="18"/>
        </w:rPr>
        <w:t>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rFonts w:hint="eastAsia"/>
          <w:sz w:val="18"/>
          <w:szCs w:val="18"/>
        </w:rPr>
        <w:t>（10）巨额赎回：</w:t>
      </w:r>
    </w:p>
    <w:p>
      <w:pPr>
        <w:adjustRightInd w:val="0"/>
        <w:snapToGrid w:val="0"/>
        <w:spacing w:line="286" w:lineRule="auto"/>
        <w:rPr>
          <w:sz w:val="18"/>
          <w:szCs w:val="18"/>
        </w:rPr>
      </w:pPr>
      <w:r>
        <w:rPr>
          <w:rFonts w:hint="eastAsia" w:ascii="Calibri" w:hAnsi="Calibri" w:cs="Calibri"/>
          <w:sz w:val="18"/>
          <w:szCs w:val="18"/>
        </w:rPr>
        <w:t>1）</w:t>
      </w:r>
      <w:r>
        <w:rPr>
          <w:rFonts w:hint="eastAsia"/>
          <w:sz w:val="18"/>
          <w:szCs w:val="18"/>
        </w:rPr>
        <w:t>巨额赎回认定</w:t>
      </w:r>
    </w:p>
    <w:p>
      <w:pPr>
        <w:adjustRightInd w:val="0"/>
        <w:snapToGrid w:val="0"/>
        <w:spacing w:line="286" w:lineRule="auto"/>
        <w:rPr>
          <w:sz w:val="18"/>
          <w:szCs w:val="18"/>
        </w:rPr>
      </w:pPr>
      <w:r>
        <w:rPr>
          <w:rFonts w:hint="eastAsia"/>
          <w:sz w:val="18"/>
          <w:szCs w:val="18"/>
        </w:rPr>
        <w:t>理财计划存续期内，若理财计划赎回日净赎回申请份额超过上一确认日日终理财计划总份额10%时，即构成巨额赎回，监管机构另有规定的除外。</w:t>
      </w:r>
    </w:p>
    <w:p>
      <w:pPr>
        <w:adjustRightInd w:val="0"/>
        <w:snapToGrid w:val="0"/>
        <w:spacing w:line="286" w:lineRule="auto"/>
        <w:rPr>
          <w:sz w:val="18"/>
          <w:szCs w:val="18"/>
        </w:rPr>
      </w:pPr>
      <w:r>
        <w:rPr>
          <w:rFonts w:hint="eastAsia"/>
          <w:sz w:val="18"/>
          <w:szCs w:val="18"/>
        </w:rPr>
        <w:t>2）巨额赎回处理</w:t>
      </w:r>
    </w:p>
    <w:p>
      <w:pPr>
        <w:adjustRightInd w:val="0"/>
        <w:snapToGrid w:val="0"/>
        <w:spacing w:line="286" w:lineRule="auto"/>
        <w:rPr>
          <w:sz w:val="18"/>
          <w:szCs w:val="18"/>
        </w:rPr>
      </w:pPr>
      <w:r>
        <w:rPr>
          <w:rFonts w:hint="eastAsia"/>
          <w:sz w:val="18"/>
          <w:szCs w:val="18"/>
        </w:rPr>
        <w:t>当出现巨额赎回时，管理人有权根据产品当时的投资运作情况决定采取全部赎回、部分赎回、延期支付款项、收取短期赎回费等措施。</w:t>
      </w:r>
    </w:p>
    <w:p>
      <w:pPr>
        <w:adjustRightInd w:val="0"/>
        <w:snapToGrid w:val="0"/>
        <w:spacing w:line="286" w:lineRule="auto"/>
        <w:rPr>
          <w:sz w:val="18"/>
          <w:szCs w:val="18"/>
        </w:rPr>
      </w:pPr>
      <w:r>
        <w:rPr>
          <w:rFonts w:hint="eastAsia"/>
          <w:sz w:val="18"/>
          <w:szCs w:val="18"/>
        </w:rPr>
        <w:fldChar w:fldCharType="begin"/>
      </w:r>
      <w:r>
        <w:rPr>
          <w:rFonts w:hint="eastAsia"/>
          <w:sz w:val="18"/>
          <w:szCs w:val="18"/>
        </w:rPr>
        <w:instrText xml:space="preserve"> = 1 \* GB3 \* MERGEFORMAT </w:instrText>
      </w:r>
      <w:r>
        <w:rPr>
          <w:rFonts w:hint="eastAsia"/>
          <w:sz w:val="18"/>
          <w:szCs w:val="18"/>
        </w:rPr>
        <w:fldChar w:fldCharType="separate"/>
      </w:r>
      <w:r>
        <w:t>①</w:t>
      </w:r>
      <w:r>
        <w:rPr>
          <w:rFonts w:hint="eastAsia"/>
          <w:sz w:val="18"/>
          <w:szCs w:val="18"/>
        </w:rPr>
        <w:fldChar w:fldCharType="end"/>
      </w:r>
      <w:r>
        <w:rPr>
          <w:rFonts w:hint="eastAsia"/>
          <w:sz w:val="18"/>
          <w:szCs w:val="18"/>
        </w:rPr>
        <w:t>全部赎回：当管理人认为有能力兑付投资者的全部赎回申请时，按正常赎回程序执行。</w:t>
      </w:r>
    </w:p>
    <w:p>
      <w:pPr>
        <w:adjustRightInd w:val="0"/>
        <w:snapToGrid w:val="0"/>
        <w:spacing w:line="286" w:lineRule="auto"/>
        <w:rPr>
          <w:sz w:val="18"/>
          <w:szCs w:val="18"/>
        </w:rPr>
      </w:pPr>
      <w:r>
        <w:rPr>
          <w:rFonts w:ascii="Calibri" w:hAnsi="Calibri" w:cs="Calibri"/>
          <w:sz w:val="18"/>
          <w:szCs w:val="18"/>
        </w:rPr>
        <w:t>②</w:t>
      </w:r>
      <w:r>
        <w:rPr>
          <w:rFonts w:hint="eastAsia"/>
          <w:sz w:val="18"/>
          <w:szCs w:val="18"/>
        </w:rPr>
        <w:t>部分赎回：当管理人办理的赎回份额不低于理财计划上一确认日日终总份额的10%的前提下，对其余赎回申请有权暂停接受或延期办理。对于单个份额持有人的赎回申请，管理人可以按照其申请占当期申请赎回总份额的比例，确定该份额持有人当日办理的赎回份额。产品份额持有人可以在申请赎回时选择将当日未获办理部分予以撤销。理财产品份额持有人未选择撤销的，管理人可以延迟至下一个开放日办理，赎回价格为下一个开放日的价格。</w:t>
      </w:r>
    </w:p>
    <w:p>
      <w:pPr>
        <w:adjustRightInd w:val="0"/>
        <w:snapToGrid w:val="0"/>
        <w:spacing w:line="286" w:lineRule="auto"/>
        <w:rPr>
          <w:rFonts w:ascii="Calibri" w:hAnsi="Calibri" w:cs="Calibri"/>
          <w:sz w:val="18"/>
          <w:szCs w:val="18"/>
        </w:rPr>
      </w:pPr>
      <w:r>
        <w:rPr>
          <w:rFonts w:ascii="Calibri" w:hAnsi="Calibri" w:cs="Calibri"/>
          <w:sz w:val="18"/>
          <w:szCs w:val="18"/>
        </w:rPr>
        <w:t>③</w:t>
      </w:r>
      <w:r>
        <w:rPr>
          <w:rFonts w:hint="eastAsia" w:ascii="Calibri" w:hAnsi="Calibri" w:cs="Calibri"/>
          <w:sz w:val="18"/>
          <w:szCs w:val="18"/>
        </w:rPr>
        <w:t>延期支付赎回款项：</w:t>
      </w:r>
      <w:r>
        <w:rPr>
          <w:rFonts w:ascii="Calibri" w:hAnsi="Calibri" w:cs="Calibri"/>
          <w:sz w:val="18"/>
          <w:szCs w:val="18"/>
        </w:rPr>
        <w:t>连续2个</w:t>
      </w:r>
      <w:r>
        <w:rPr>
          <w:rFonts w:hint="eastAsia" w:ascii="Calibri" w:hAnsi="Calibri" w:cs="Calibri"/>
          <w:sz w:val="18"/>
          <w:szCs w:val="18"/>
        </w:rPr>
        <w:t>（含）</w:t>
      </w:r>
      <w:r>
        <w:rPr>
          <w:rFonts w:ascii="Calibri" w:hAnsi="Calibri" w:cs="Calibri"/>
          <w:sz w:val="18"/>
          <w:szCs w:val="18"/>
        </w:rPr>
        <w:t>以上开放日发生巨额赎回的，除采取</w:t>
      </w:r>
      <w:r>
        <w:rPr>
          <w:rFonts w:hint="eastAsia" w:ascii="Calibri" w:hAnsi="Calibri" w:cs="Calibri"/>
          <w:sz w:val="18"/>
          <w:szCs w:val="18"/>
        </w:rPr>
        <w:t>前述</w:t>
      </w:r>
      <w:r>
        <w:rPr>
          <w:rFonts w:ascii="Calibri" w:hAnsi="Calibri" w:cs="Calibri"/>
          <w:sz w:val="18"/>
          <w:szCs w:val="18"/>
        </w:rPr>
        <w:t>措施外，对于已经接受的赎回申请，</w:t>
      </w:r>
      <w:r>
        <w:rPr>
          <w:rFonts w:hint="eastAsia" w:ascii="Calibri" w:hAnsi="Calibri" w:cs="Calibri"/>
          <w:sz w:val="18"/>
          <w:szCs w:val="18"/>
        </w:rPr>
        <w:t>管理人</w:t>
      </w:r>
      <w:r>
        <w:rPr>
          <w:rFonts w:ascii="Calibri" w:hAnsi="Calibri" w:cs="Calibri"/>
          <w:sz w:val="18"/>
          <w:szCs w:val="18"/>
        </w:rPr>
        <w:t>还可以延缓支付赎回款项，但延缓期限不得超过20个工作日。</w:t>
      </w:r>
    </w:p>
    <w:p>
      <w:pPr>
        <w:adjustRightInd w:val="0"/>
        <w:snapToGrid w:val="0"/>
        <w:spacing w:line="286" w:lineRule="auto"/>
        <w:rPr>
          <w:rFonts w:ascii="Calibri" w:hAnsi="Calibri" w:cs="Calibri"/>
          <w:sz w:val="18"/>
          <w:szCs w:val="18"/>
        </w:rPr>
      </w:pPr>
      <w:r>
        <w:rPr>
          <w:rFonts w:ascii="Calibri" w:hAnsi="Calibri" w:cs="Calibri"/>
          <w:sz w:val="18"/>
          <w:szCs w:val="18"/>
        </w:rPr>
        <w:t>④</w:t>
      </w:r>
      <w:r>
        <w:rPr>
          <w:rFonts w:hint="eastAsia" w:ascii="Calibri" w:hAnsi="Calibri" w:cs="Calibri"/>
          <w:sz w:val="18"/>
          <w:szCs w:val="18"/>
        </w:rPr>
        <w:t>收取短期赎回费：产品发生巨额赎回或管理人认为可能回导致产品流动性风险的其他情形下，管理人可向连续持有少于7日的开放式理财产品投资者收取赎回费，并将上述赎回费全额计入理财产品财产。</w:t>
      </w:r>
    </w:p>
    <w:p>
      <w:pPr>
        <w:adjustRightInd w:val="0"/>
        <w:snapToGrid w:val="0"/>
        <w:spacing w:line="286" w:lineRule="auto"/>
        <w:rPr>
          <w:sz w:val="18"/>
          <w:szCs w:val="18"/>
        </w:rPr>
      </w:pPr>
      <w:r>
        <w:rPr>
          <w:rFonts w:hint="eastAsia"/>
          <w:sz w:val="18"/>
          <w:szCs w:val="18"/>
        </w:rPr>
        <w:t>在理财计划存续期内，管理人有权根据市场情况调整巨额赎回金额比例，并及时进行对外公告。</w:t>
      </w:r>
    </w:p>
    <w:p>
      <w:pPr>
        <w:numPr>
          <w:ilvl w:val="0"/>
          <w:numId w:val="2"/>
        </w:numPr>
        <w:adjustRightInd w:val="0"/>
        <w:snapToGrid w:val="0"/>
        <w:spacing w:line="286" w:lineRule="auto"/>
        <w:rPr>
          <w:sz w:val="18"/>
          <w:szCs w:val="18"/>
        </w:rPr>
      </w:pPr>
      <w:r>
        <w:rPr>
          <w:rFonts w:hint="eastAsia"/>
          <w:sz w:val="18"/>
          <w:szCs w:val="18"/>
        </w:rPr>
        <w:t>摆动定价机制</w:t>
      </w:r>
    </w:p>
    <w:p>
      <w:pPr>
        <w:adjustRightInd w:val="0"/>
        <w:snapToGrid w:val="0"/>
        <w:spacing w:line="286" w:lineRule="auto"/>
        <w:rPr>
          <w:sz w:val="18"/>
          <w:szCs w:val="18"/>
        </w:rPr>
      </w:pPr>
      <w:r>
        <w:rPr>
          <w:rFonts w:hint="eastAsia"/>
          <w:sz w:val="18"/>
          <w:szCs w:val="18"/>
        </w:rPr>
        <w:t>当产品</w:t>
      </w:r>
      <w:r>
        <w:rPr>
          <w:sz w:val="18"/>
          <w:szCs w:val="18"/>
        </w:rPr>
        <w:t>发生大额认</w:t>
      </w:r>
      <w:r>
        <w:rPr>
          <w:rFonts w:hint="eastAsia"/>
          <w:sz w:val="18"/>
          <w:szCs w:val="18"/>
        </w:rPr>
        <w:t>（申）</w:t>
      </w:r>
      <w:r>
        <w:rPr>
          <w:sz w:val="18"/>
          <w:szCs w:val="18"/>
        </w:rPr>
        <w:t>购或赎回时，</w:t>
      </w:r>
      <w:r>
        <w:rPr>
          <w:rFonts w:hint="eastAsia"/>
          <w:sz w:val="18"/>
          <w:szCs w:val="18"/>
        </w:rPr>
        <w:t>管理人</w:t>
      </w:r>
      <w:r>
        <w:rPr>
          <w:sz w:val="18"/>
          <w:szCs w:val="18"/>
        </w:rPr>
        <w:t>可以采用摆动定价机制</w:t>
      </w:r>
      <w:r>
        <w:rPr>
          <w:rFonts w:hint="eastAsia"/>
          <w:sz w:val="18"/>
          <w:szCs w:val="18"/>
        </w:rPr>
        <w:t>。摆动定价机制是指当本产品遭遇大额认购或赎回时，通过调整理财产品份额净值的方式，将理财产品调整投资组合的市场冲击成本分配给实际认（申）购、赎回的投资者，从而减少对存量理财产品份额持有人利益的不利影响。具体操作按照相关法律法规、监管规定和自律规则执行。</w:t>
      </w:r>
    </w:p>
    <w:p>
      <w:pPr>
        <w:adjustRightInd w:val="0"/>
        <w:snapToGrid w:val="0"/>
        <w:spacing w:line="286" w:lineRule="auto"/>
        <w:rPr>
          <w:sz w:val="18"/>
          <w:szCs w:val="18"/>
        </w:rPr>
      </w:pPr>
      <w:r>
        <w:rPr>
          <w:rFonts w:hint="eastAsia"/>
          <w:sz w:val="18"/>
          <w:szCs w:val="18"/>
        </w:rPr>
        <w:t>4</w:t>
      </w:r>
      <w:r>
        <w:rPr>
          <w:sz w:val="18"/>
          <w:szCs w:val="18"/>
        </w:rPr>
        <w:t>.</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确认投资者赎回成功后，温州银行将为投资者扣减份额，并将投资者应得的赎回资金（如有，下同）于赎回确认日后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5</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申购份额＝申购金额÷申购确认日前一自然日理财计划份额净值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示例：假定某投资者投资100万元人民币申购本理财计划，理财计划份额净值为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申购份数＝100万元人民币÷1.0250＝975609.76份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理财计划采用“份额赎回”方式，赎回价格以赎回日的理财计划份额净值为基准进行计算,计算公式如下：</w:t>
      </w:r>
    </w:p>
    <w:p>
      <w:pPr>
        <w:adjustRightInd w:val="0"/>
        <w:snapToGrid w:val="0"/>
        <w:spacing w:line="286" w:lineRule="auto"/>
        <w:rPr>
          <w:sz w:val="18"/>
          <w:szCs w:val="18"/>
        </w:rPr>
      </w:pPr>
      <w:r>
        <w:rPr>
          <w:rFonts w:hint="eastAsia"/>
          <w:sz w:val="18"/>
          <w:szCs w:val="18"/>
        </w:rPr>
        <w:t>赎回金额＝总赎回份额×赎回确认日前一自然日理财计划份额净值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赎回费＝赎回金额×赎回费率，本计划赎回费率为0。</w:t>
      </w:r>
    </w:p>
    <w:p>
      <w:pPr>
        <w:adjustRightInd w:val="0"/>
        <w:snapToGrid w:val="0"/>
        <w:spacing w:line="286" w:lineRule="auto"/>
        <w:rPr>
          <w:sz w:val="18"/>
          <w:szCs w:val="18"/>
        </w:rPr>
      </w:pPr>
      <w:r>
        <w:rPr>
          <w:rFonts w:hint="eastAsia"/>
          <w:sz w:val="18"/>
          <w:szCs w:val="18"/>
        </w:rPr>
        <w:t>投资者应得赎回资金＝赎回金额－赎回费</w:t>
      </w:r>
    </w:p>
    <w:p>
      <w:pPr>
        <w:adjustRightInd w:val="0"/>
        <w:snapToGrid w:val="0"/>
        <w:spacing w:line="286" w:lineRule="auto"/>
        <w:rPr>
          <w:sz w:val="18"/>
          <w:szCs w:val="18"/>
        </w:rPr>
      </w:pPr>
      <w:r>
        <w:rPr>
          <w:rFonts w:hint="eastAsia"/>
          <w:sz w:val="18"/>
          <w:szCs w:val="18"/>
        </w:rPr>
        <w:t>示例：假定某投资者赎回100000份理财计划份额，理财计划份额净值为1.0530元人民币时赎回。</w:t>
      </w:r>
    </w:p>
    <w:p>
      <w:pPr>
        <w:adjustRightInd w:val="0"/>
        <w:snapToGrid w:val="0"/>
        <w:spacing w:line="286" w:lineRule="auto"/>
        <w:rPr>
          <w:sz w:val="18"/>
          <w:szCs w:val="18"/>
        </w:rPr>
      </w:pPr>
      <w:r>
        <w:rPr>
          <w:rFonts w:hint="eastAsia"/>
          <w:sz w:val="18"/>
          <w:szCs w:val="18"/>
        </w:rPr>
        <w:t>赎回金额＝100000×1.0530＝105300元人民币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6.拒绝或暂停接受申购或赎回申请、延缓支付赎回款项的情形及处理方式</w:t>
      </w:r>
    </w:p>
    <w:p>
      <w:pPr>
        <w:adjustRightInd w:val="0"/>
        <w:snapToGrid w:val="0"/>
        <w:spacing w:line="286" w:lineRule="auto"/>
        <w:rPr>
          <w:sz w:val="18"/>
          <w:szCs w:val="18"/>
        </w:rPr>
      </w:pPr>
      <w:r>
        <w:rPr>
          <w:rFonts w:hint="eastAsia"/>
          <w:sz w:val="18"/>
          <w:szCs w:val="18"/>
        </w:rPr>
        <w:t>（1）发生以下情形，管理人可以决定是否拒绝或暂停接受全部或部分投资者的申购申请：</w:t>
      </w:r>
    </w:p>
    <w:p>
      <w:pPr>
        <w:adjustRightInd w:val="0"/>
        <w:snapToGrid w:val="0"/>
        <w:spacing w:line="286" w:lineRule="auto"/>
        <w:rPr>
          <w:sz w:val="18"/>
          <w:szCs w:val="18"/>
        </w:rPr>
      </w:pPr>
      <w:r>
        <w:rPr>
          <w:rFonts w:hint="eastAsia"/>
          <w:sz w:val="18"/>
          <w:szCs w:val="18"/>
        </w:rPr>
        <w:t>1）投资者申购超过产品说明书约定的发行规模上限、单笔认/申购上限、单一客户持有上限、单日净申购比例上限等。</w:t>
      </w:r>
    </w:p>
    <w:p>
      <w:pPr>
        <w:adjustRightInd w:val="0"/>
        <w:snapToGrid w:val="0"/>
        <w:spacing w:line="286" w:lineRule="auto"/>
        <w:rPr>
          <w:sz w:val="18"/>
          <w:szCs w:val="18"/>
        </w:rPr>
      </w:pPr>
      <w:r>
        <w:rPr>
          <w:rFonts w:hint="eastAsia"/>
          <w:sz w:val="18"/>
          <w:szCs w:val="18"/>
        </w:rPr>
        <w:t>2）理财计划资产规模过大，继续接受申购可能对理财计划业绩产生负面影响，从而损害理财产品存量投资者利益的情形时。</w:t>
      </w:r>
    </w:p>
    <w:p>
      <w:pPr>
        <w:adjustRightInd w:val="0"/>
        <w:snapToGrid w:val="0"/>
        <w:spacing w:line="286" w:lineRule="auto"/>
        <w:rPr>
          <w:sz w:val="18"/>
          <w:szCs w:val="18"/>
        </w:rPr>
      </w:pPr>
      <w:r>
        <w:rPr>
          <w:rFonts w:hint="eastAsia"/>
          <w:sz w:val="18"/>
          <w:szCs w:val="18"/>
        </w:rPr>
        <w:t>3）当接受认购申请可能会有损于理财产品存量投资者利益时。</w:t>
      </w:r>
    </w:p>
    <w:p>
      <w:pPr>
        <w:adjustRightInd w:val="0"/>
        <w:snapToGrid w:val="0"/>
        <w:spacing w:line="286" w:lineRule="auto"/>
        <w:rPr>
          <w:sz w:val="18"/>
          <w:szCs w:val="18"/>
        </w:rPr>
      </w:pPr>
      <w:r>
        <w:rPr>
          <w:rFonts w:hint="eastAsia"/>
          <w:sz w:val="18"/>
          <w:szCs w:val="18"/>
        </w:rPr>
        <w:t>4）当管理人接受某笔或者某些申购申请有可能导致单一投资者持有理财计划份额的比例达到或超过50%的情形。</w:t>
      </w:r>
    </w:p>
    <w:p>
      <w:pPr>
        <w:adjustRightInd w:val="0"/>
        <w:snapToGrid w:val="0"/>
        <w:spacing w:line="286" w:lineRule="auto"/>
        <w:rPr>
          <w:sz w:val="18"/>
          <w:szCs w:val="18"/>
        </w:rPr>
      </w:pPr>
      <w:r>
        <w:rPr>
          <w:rFonts w:hint="eastAsia"/>
          <w:sz w:val="18"/>
          <w:szCs w:val="18"/>
        </w:rPr>
        <w:t>5）发生产品说明书约定的暂停估值的情形时。</w:t>
      </w:r>
    </w:p>
    <w:p>
      <w:pPr>
        <w:adjustRightInd w:val="0"/>
        <w:snapToGrid w:val="0"/>
        <w:spacing w:line="286" w:lineRule="auto"/>
        <w:rPr>
          <w:sz w:val="18"/>
          <w:szCs w:val="18"/>
        </w:rPr>
      </w:pPr>
      <w:r>
        <w:rPr>
          <w:rFonts w:hint="eastAsia"/>
          <w:sz w:val="18"/>
          <w:szCs w:val="18"/>
        </w:rPr>
        <w:t>6）法律法规规定或监管机构认定的其他情形。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当管理人决定暂定接受投资人申购申请时，将在3个交易日内告知投资者。若投资者的全部或部分申购申请被拒绝，被拒绝的申购款项本金将退还给投资者，管理人不承担投资者由此产生的利息损失。</w:t>
      </w:r>
    </w:p>
    <w:p>
      <w:pPr>
        <w:adjustRightInd w:val="0"/>
        <w:snapToGrid w:val="0"/>
        <w:spacing w:line="286" w:lineRule="auto"/>
        <w:rPr>
          <w:sz w:val="18"/>
          <w:szCs w:val="18"/>
        </w:rPr>
      </w:pPr>
      <w:r>
        <w:rPr>
          <w:rFonts w:hint="eastAsia"/>
          <w:sz w:val="18"/>
          <w:szCs w:val="18"/>
        </w:rPr>
        <w:t>（2）发生下列情形时，管理人可暂停接受投资者的赎回申请或延缓支付赎回款项：</w:t>
      </w:r>
    </w:p>
    <w:p>
      <w:pPr>
        <w:numPr>
          <w:ilvl w:val="0"/>
          <w:numId w:val="3"/>
        </w:numPr>
        <w:adjustRightInd w:val="0"/>
        <w:snapToGrid w:val="0"/>
        <w:spacing w:line="286" w:lineRule="auto"/>
        <w:rPr>
          <w:sz w:val="18"/>
          <w:szCs w:val="18"/>
        </w:rPr>
      </w:pPr>
      <w:r>
        <w:rPr>
          <w:rFonts w:hint="eastAsia"/>
          <w:sz w:val="18"/>
          <w:szCs w:val="18"/>
        </w:rPr>
        <w:t>发生巨额赎回或连续巨额赎回的情形时。</w:t>
      </w:r>
    </w:p>
    <w:p>
      <w:pPr>
        <w:numPr>
          <w:ilvl w:val="0"/>
          <w:numId w:val="3"/>
        </w:numPr>
        <w:adjustRightInd w:val="0"/>
        <w:snapToGrid w:val="0"/>
        <w:spacing w:line="286" w:lineRule="auto"/>
        <w:rPr>
          <w:sz w:val="18"/>
          <w:szCs w:val="18"/>
        </w:rPr>
      </w:pPr>
      <w:r>
        <w:rPr>
          <w:sz w:val="18"/>
          <w:szCs w:val="18"/>
        </w:rPr>
        <w:t>当</w:t>
      </w:r>
      <w:r>
        <w:rPr>
          <w:rFonts w:hint="eastAsia"/>
          <w:sz w:val="18"/>
          <w:szCs w:val="18"/>
        </w:rPr>
        <w:t>接受赎回</w:t>
      </w:r>
      <w:r>
        <w:rPr>
          <w:sz w:val="18"/>
          <w:szCs w:val="18"/>
        </w:rPr>
        <w:t>申请可能会有损于理财产品存量投资者利益时。</w:t>
      </w:r>
    </w:p>
    <w:p>
      <w:pPr>
        <w:numPr>
          <w:ilvl w:val="0"/>
          <w:numId w:val="3"/>
        </w:numPr>
        <w:adjustRightInd w:val="0"/>
        <w:snapToGrid w:val="0"/>
        <w:spacing w:line="286" w:lineRule="auto"/>
        <w:rPr>
          <w:sz w:val="18"/>
          <w:szCs w:val="18"/>
        </w:rPr>
      </w:pPr>
      <w:r>
        <w:rPr>
          <w:rFonts w:hint="eastAsia"/>
          <w:sz w:val="18"/>
          <w:szCs w:val="18"/>
        </w:rPr>
        <w:t>发生赎回申请超过赎回上限的情形时。</w:t>
      </w:r>
    </w:p>
    <w:p>
      <w:pPr>
        <w:numPr>
          <w:ilvl w:val="0"/>
          <w:numId w:val="3"/>
        </w:numPr>
        <w:adjustRightInd w:val="0"/>
        <w:snapToGrid w:val="0"/>
        <w:spacing w:line="286" w:lineRule="auto"/>
        <w:rPr>
          <w:sz w:val="18"/>
          <w:szCs w:val="18"/>
        </w:rPr>
      </w:pPr>
      <w:r>
        <w:rPr>
          <w:rFonts w:hint="eastAsia"/>
          <w:sz w:val="18"/>
          <w:szCs w:val="18"/>
        </w:rPr>
        <w:t>发生产品说明书约定的暂停估值的情形时。</w:t>
      </w:r>
    </w:p>
    <w:p>
      <w:pPr>
        <w:numPr>
          <w:ilvl w:val="0"/>
          <w:numId w:val="3"/>
        </w:numPr>
        <w:adjustRightInd w:val="0"/>
        <w:snapToGrid w:val="0"/>
        <w:spacing w:line="286" w:lineRule="auto"/>
        <w:rPr>
          <w:sz w:val="18"/>
          <w:szCs w:val="18"/>
        </w:rPr>
      </w:pPr>
      <w:r>
        <w:rPr>
          <w:rFonts w:hint="eastAsia"/>
          <w:sz w:val="18"/>
          <w:szCs w:val="18"/>
        </w:rPr>
        <w:t>法律法规规定或监管机构认定的其他情形。</w:t>
      </w:r>
    </w:p>
    <w:p>
      <w:pPr>
        <w:adjustRightInd w:val="0"/>
        <w:snapToGrid w:val="0"/>
        <w:spacing w:line="286" w:lineRule="auto"/>
        <w:rPr>
          <w:sz w:val="18"/>
          <w:szCs w:val="18"/>
        </w:rPr>
      </w:pPr>
      <w:r>
        <w:rPr>
          <w:rFonts w:hint="eastAsia"/>
          <w:sz w:val="18"/>
          <w:szCs w:val="18"/>
        </w:rPr>
        <w:t>当发生上述暂停接受赎回申请或延期支付赎回款项的情形时，管理人将在3个交易日内告知投资者。若投资者的全部或部分赎回申请被拒绝，投资者可将当日未能受理部分予以撤销。投资者未选择撤销的，管理人可以延迟至下一个开放日办理，赎回价格为下一个开放日的价格。</w:t>
      </w:r>
    </w:p>
    <w:p>
      <w:pPr>
        <w:adjustRightInd w:val="0"/>
        <w:snapToGrid w:val="0"/>
        <w:spacing w:line="286" w:lineRule="auto"/>
        <w:rPr>
          <w:sz w:val="18"/>
          <w:szCs w:val="18"/>
        </w:rPr>
      </w:pPr>
      <w:r>
        <w:rPr>
          <w:rFonts w:hint="eastAsia"/>
          <w:sz w:val="18"/>
          <w:szCs w:val="18"/>
        </w:rPr>
        <w:t>【终止（包括到期终止、提前终止、延期终止）】</w:t>
      </w:r>
    </w:p>
    <w:p>
      <w:pPr>
        <w:adjustRightInd w:val="0"/>
        <w:snapToGrid w:val="0"/>
        <w:spacing w:line="286" w:lineRule="auto"/>
        <w:rPr>
          <w:sz w:val="18"/>
          <w:szCs w:val="18"/>
        </w:rPr>
      </w:pPr>
      <w:r>
        <w:rPr>
          <w:rFonts w:hint="eastAsia"/>
          <w:color w:val="000000"/>
          <w:sz w:val="18"/>
          <w:szCs w:val="18"/>
        </w:rPr>
        <w:t>本产品预计到期终止日为20</w:t>
      </w:r>
      <w:r>
        <w:rPr>
          <w:color w:val="000000"/>
          <w:sz w:val="18"/>
          <w:szCs w:val="18"/>
        </w:rPr>
        <w:t>29</w:t>
      </w:r>
      <w:r>
        <w:rPr>
          <w:rFonts w:hint="eastAsia"/>
          <w:color w:val="000000"/>
          <w:sz w:val="18"/>
          <w:szCs w:val="18"/>
        </w:rPr>
        <w:t>年</w:t>
      </w:r>
      <w:r>
        <w:rPr>
          <w:color w:val="000000"/>
          <w:sz w:val="18"/>
          <w:szCs w:val="18"/>
        </w:rPr>
        <w:t>7</w:t>
      </w:r>
      <w:r>
        <w:rPr>
          <w:rFonts w:hint="eastAsia"/>
          <w:color w:val="000000"/>
          <w:sz w:val="18"/>
          <w:szCs w:val="18"/>
        </w:rPr>
        <w:t>月1</w:t>
      </w:r>
      <w:r>
        <w:rPr>
          <w:color w:val="000000"/>
          <w:sz w:val="18"/>
          <w:szCs w:val="18"/>
        </w:rPr>
        <w:t>0</w:t>
      </w:r>
      <w:r>
        <w:rPr>
          <w:rFonts w:hint="eastAsia"/>
          <w:color w:val="000000"/>
          <w:sz w:val="18"/>
          <w:szCs w:val="18"/>
        </w:rPr>
        <w:t>日</w:t>
      </w:r>
      <w:r>
        <w:rPr>
          <w:rFonts w:hint="eastAsia"/>
          <w:color w:val="000000"/>
          <w:sz w:val="18"/>
        </w:rPr>
        <w:t>，</w:t>
      </w:r>
      <w:r>
        <w:rPr>
          <w:rFonts w:hint="eastAsia"/>
          <w:sz w:val="18"/>
          <w:szCs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理财管理人对委托资产收取的固定管理费，理财计划财产的年固定管理费率为0.8%（最高），计算方法如下：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理财管理人对委托资产收取的浮动管理费，按每自然日计提，计算方法如下：</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=F</w:t>
      </w:r>
      <w:r>
        <w:rPr>
          <w:rFonts w:hint="eastAsia"/>
          <w:sz w:val="18"/>
          <w:szCs w:val="18"/>
          <w:vertAlign w:val="subscript"/>
        </w:rPr>
        <w:t>T</w:t>
      </w:r>
      <w:r>
        <w:rPr>
          <w:rFonts w:hint="eastAsia"/>
          <w:sz w:val="18"/>
          <w:szCs w:val="18"/>
        </w:rPr>
        <w:t>-F</w:t>
      </w:r>
      <w:r>
        <w:rPr>
          <w:rFonts w:hint="eastAsia"/>
          <w:sz w:val="18"/>
          <w:szCs w:val="18"/>
          <w:vertAlign w:val="subscript"/>
        </w:rPr>
        <w:t>（T-1）</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=MAX（F</w:t>
      </w:r>
      <w:r>
        <w:rPr>
          <w:rFonts w:hint="eastAsia"/>
          <w:sz w:val="18"/>
          <w:szCs w:val="18"/>
          <w:vertAlign w:val="subscript"/>
        </w:rPr>
        <w:t>0</w:t>
      </w:r>
      <w:r>
        <w:rPr>
          <w:rFonts w:hint="eastAsia"/>
          <w:sz w:val="18"/>
          <w:szCs w:val="18"/>
        </w:rPr>
        <w:t>+（A- A</w:t>
      </w:r>
      <w:r>
        <w:rPr>
          <w:rFonts w:hint="eastAsia"/>
          <w:sz w:val="18"/>
          <w:szCs w:val="18"/>
          <w:vertAlign w:val="subscript"/>
        </w:rPr>
        <w:t>0</w:t>
      </w:r>
      <w:r>
        <w:rPr>
          <w:sz w:val="18"/>
          <w:szCs w:val="18"/>
        </w:rPr>
        <w:t>×</w:t>
      </w:r>
      <w:r>
        <w:rPr>
          <w:rFonts w:hint="eastAsia"/>
          <w:sz w:val="18"/>
          <w:szCs w:val="18"/>
        </w:rPr>
        <w:t>（1+R</w:t>
      </w:r>
      <w:r>
        <w:rPr>
          <w:rFonts w:hint="eastAsia"/>
          <w:sz w:val="18"/>
          <w:szCs w:val="18"/>
          <w:vertAlign w:val="subscript"/>
        </w:rPr>
        <w:t xml:space="preserve"> i</w:t>
      </w:r>
      <w:r>
        <w:rPr>
          <w:sz w:val="18"/>
          <w:szCs w:val="18"/>
        </w:rPr>
        <w:t>×</w:t>
      </w:r>
      <w:r>
        <w:rPr>
          <w:rFonts w:hint="eastAsia"/>
          <w:sz w:val="18"/>
          <w:szCs w:val="18"/>
        </w:rPr>
        <w:t>T</w:t>
      </w:r>
      <w:r>
        <w:rPr>
          <w:sz w:val="18"/>
          <w:szCs w:val="18"/>
        </w:rPr>
        <w:t>÷365</w:t>
      </w:r>
      <w:r>
        <w:rPr>
          <w:rFonts w:hint="eastAsia"/>
          <w:sz w:val="18"/>
          <w:szCs w:val="18"/>
        </w:rPr>
        <w:t>））×80%，0）</w:t>
      </w:r>
    </w:p>
    <w:p>
      <w:pPr>
        <w:adjustRightInd w:val="0"/>
        <w:snapToGrid w:val="0"/>
        <w:spacing w:line="286" w:lineRule="auto"/>
        <w:rPr>
          <w:sz w:val="18"/>
          <w:szCs w:val="18"/>
        </w:rPr>
      </w:pPr>
      <w:r>
        <w:rPr>
          <w:rFonts w:hint="eastAsia"/>
          <w:sz w:val="18"/>
          <w:szCs w:val="18"/>
        </w:rPr>
        <w:t>其中：</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为每日应计提的浮动管理费，当计提后的浮动管理费余额小于0时，则当日不再予以计提。</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为当日已计提且未扣除的浮动管理费余额，F</w:t>
      </w:r>
      <w:r>
        <w:rPr>
          <w:rFonts w:hint="eastAsia"/>
          <w:sz w:val="18"/>
          <w:szCs w:val="18"/>
          <w:vertAlign w:val="subscript"/>
        </w:rPr>
        <w:t>（T-1）</w:t>
      </w:r>
      <w:r>
        <w:rPr>
          <w:rFonts w:hint="eastAsia"/>
          <w:sz w:val="18"/>
          <w:szCs w:val="18"/>
        </w:rPr>
        <w:t>为上一日已计提且未扣除的浮动管理费余额。</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0</w:t>
      </w:r>
      <w:r>
        <w:rPr>
          <w:rFonts w:hint="eastAsia"/>
          <w:sz w:val="18"/>
          <w:szCs w:val="18"/>
        </w:rPr>
        <w:t>为本</w:t>
      </w:r>
      <w:r>
        <w:rPr>
          <w:sz w:val="18"/>
          <w:szCs w:val="18"/>
        </w:rPr>
        <w:t>周期起始日前</w:t>
      </w:r>
      <w:r>
        <w:rPr>
          <w:rFonts w:hint="eastAsia"/>
          <w:sz w:val="18"/>
          <w:szCs w:val="18"/>
        </w:rPr>
        <w:t>一日已计提且未扣除的浮动管理费余额。</w:t>
      </w:r>
    </w:p>
    <w:p>
      <w:pPr>
        <w:adjustRightInd w:val="0"/>
        <w:snapToGrid w:val="0"/>
        <w:spacing w:line="286" w:lineRule="auto"/>
        <w:rPr>
          <w:sz w:val="18"/>
          <w:szCs w:val="18"/>
        </w:rPr>
      </w:pPr>
      <w:r>
        <w:rPr>
          <w:sz w:val="18"/>
          <w:szCs w:val="18"/>
        </w:rPr>
        <w:t>A为当日扣除</w:t>
      </w:r>
      <w:r>
        <w:rPr>
          <w:rFonts w:hint="eastAsia"/>
          <w:sz w:val="18"/>
          <w:szCs w:val="18"/>
        </w:rPr>
        <w:t>浮动</w:t>
      </w:r>
      <w:r>
        <w:rPr>
          <w:sz w:val="18"/>
          <w:szCs w:val="18"/>
        </w:rPr>
        <w:t>管理费</w:t>
      </w:r>
      <w:r>
        <w:rPr>
          <w:rFonts w:hint="eastAsia"/>
          <w:sz w:val="18"/>
          <w:szCs w:val="18"/>
        </w:rPr>
        <w:t>前</w:t>
      </w:r>
      <w:r>
        <w:rPr>
          <w:sz w:val="18"/>
          <w:szCs w:val="18"/>
        </w:rPr>
        <w:t>以及除权分红前的产品资产净值</w:t>
      </w:r>
      <w:r>
        <w:rPr>
          <w:rFonts w:hint="eastAsia"/>
          <w:sz w:val="18"/>
          <w:szCs w:val="18"/>
        </w:rPr>
        <w:t>。</w:t>
      </w:r>
    </w:p>
    <w:p>
      <w:pPr>
        <w:adjustRightInd w:val="0"/>
        <w:snapToGrid w:val="0"/>
        <w:spacing w:line="286" w:lineRule="auto"/>
        <w:rPr>
          <w:sz w:val="18"/>
          <w:szCs w:val="18"/>
        </w:rPr>
      </w:pPr>
      <w:r>
        <w:rPr>
          <w:rFonts w:hint="eastAsia"/>
          <w:sz w:val="18"/>
          <w:szCs w:val="18"/>
        </w:rPr>
        <w:t>A</w:t>
      </w:r>
      <w:r>
        <w:rPr>
          <w:rFonts w:hint="eastAsia"/>
          <w:sz w:val="18"/>
          <w:szCs w:val="18"/>
          <w:vertAlign w:val="subscript"/>
        </w:rPr>
        <w:t>0</w:t>
      </w:r>
      <w:r>
        <w:rPr>
          <w:sz w:val="18"/>
          <w:szCs w:val="18"/>
        </w:rPr>
        <w:t>为</w:t>
      </w:r>
      <w:r>
        <w:rPr>
          <w:rFonts w:hint="eastAsia"/>
          <w:sz w:val="18"/>
          <w:szCs w:val="18"/>
        </w:rPr>
        <w:t>【本</w:t>
      </w:r>
      <w:r>
        <w:rPr>
          <w:sz w:val="18"/>
          <w:szCs w:val="18"/>
        </w:rPr>
        <w:t>周期起始日前一日的产品资产净值÷</w:t>
      </w:r>
      <w:r>
        <w:rPr>
          <w:rFonts w:hint="eastAsia"/>
          <w:sz w:val="18"/>
          <w:szCs w:val="18"/>
        </w:rPr>
        <w:t>本</w:t>
      </w:r>
      <w:r>
        <w:rPr>
          <w:sz w:val="18"/>
          <w:szCs w:val="18"/>
        </w:rPr>
        <w:t>周期起始日前一日的</w:t>
      </w:r>
      <w:r>
        <w:rPr>
          <w:rFonts w:hint="eastAsia"/>
          <w:sz w:val="18"/>
          <w:szCs w:val="18"/>
        </w:rPr>
        <w:t>产品</w:t>
      </w:r>
      <w:r>
        <w:rPr>
          <w:sz w:val="18"/>
          <w:szCs w:val="18"/>
        </w:rPr>
        <w:t>份额×本周期</w:t>
      </w:r>
      <w:r>
        <w:rPr>
          <w:rFonts w:hint="eastAsia"/>
          <w:sz w:val="18"/>
          <w:szCs w:val="18"/>
        </w:rPr>
        <w:t>产品</w:t>
      </w:r>
      <w:r>
        <w:rPr>
          <w:sz w:val="18"/>
          <w:szCs w:val="18"/>
        </w:rPr>
        <w:t>份额（</w:t>
      </w:r>
      <w:r>
        <w:rPr>
          <w:rFonts w:hint="eastAsia"/>
          <w:sz w:val="18"/>
          <w:szCs w:val="18"/>
        </w:rPr>
        <w:t>首个投资</w:t>
      </w:r>
      <w:r>
        <w:rPr>
          <w:sz w:val="18"/>
          <w:szCs w:val="18"/>
        </w:rPr>
        <w:t>周期</w:t>
      </w:r>
      <w:r>
        <w:rPr>
          <w:rFonts w:hint="eastAsia"/>
          <w:sz w:val="18"/>
          <w:szCs w:val="18"/>
        </w:rPr>
        <w:t>该项等于</w:t>
      </w:r>
      <w:r>
        <w:rPr>
          <w:sz w:val="18"/>
          <w:szCs w:val="18"/>
        </w:rPr>
        <w:t>成立金额）</w:t>
      </w:r>
      <w:r>
        <w:rPr>
          <w:rFonts w:hint="eastAsia"/>
          <w:sz w:val="18"/>
          <w:szCs w:val="18"/>
        </w:rPr>
        <w:t>】</w:t>
      </w:r>
    </w:p>
    <w:p>
      <w:pPr>
        <w:adjustRightInd w:val="0"/>
        <w:snapToGrid w:val="0"/>
        <w:spacing w:line="286" w:lineRule="auto"/>
        <w:rPr>
          <w:sz w:val="18"/>
          <w:szCs w:val="18"/>
        </w:rPr>
      </w:pPr>
      <w:r>
        <w:rPr>
          <w:rFonts w:hint="eastAsia"/>
          <w:sz w:val="18"/>
          <w:szCs w:val="18"/>
        </w:rPr>
        <w:t>T</w:t>
      </w:r>
      <w:r>
        <w:rPr>
          <w:sz w:val="18"/>
          <w:szCs w:val="18"/>
        </w:rPr>
        <w:t>为本</w:t>
      </w:r>
      <w:r>
        <w:rPr>
          <w:rFonts w:hint="eastAsia"/>
          <w:sz w:val="18"/>
          <w:szCs w:val="18"/>
        </w:rPr>
        <w:t>投资</w:t>
      </w:r>
      <w:r>
        <w:rPr>
          <w:sz w:val="18"/>
          <w:szCs w:val="18"/>
        </w:rPr>
        <w:t>周期起始日（含）到</w:t>
      </w:r>
      <w:r>
        <w:rPr>
          <w:rFonts w:hint="eastAsia"/>
          <w:sz w:val="18"/>
          <w:szCs w:val="18"/>
        </w:rPr>
        <w:t>浮动管理费计提</w:t>
      </w:r>
      <w:r>
        <w:rPr>
          <w:sz w:val="18"/>
          <w:szCs w:val="18"/>
        </w:rPr>
        <w:t>日（含）的天数</w:t>
      </w:r>
      <w:r>
        <w:rPr>
          <w:rFonts w:hint="eastAsia"/>
          <w:sz w:val="18"/>
          <w:szCs w:val="18"/>
        </w:rPr>
        <w:t>。</w:t>
      </w:r>
    </w:p>
    <w:p>
      <w:pPr>
        <w:adjustRightInd w:val="0"/>
        <w:snapToGrid w:val="0"/>
        <w:spacing w:line="286" w:lineRule="auto"/>
        <w:rPr>
          <w:sz w:val="18"/>
          <w:szCs w:val="18"/>
        </w:rPr>
      </w:pPr>
      <w:r>
        <w:rPr>
          <w:rFonts w:hint="eastAsia"/>
          <w:sz w:val="18"/>
          <w:szCs w:val="18"/>
        </w:rPr>
        <w:t>R</w:t>
      </w:r>
      <w:r>
        <w:rPr>
          <w:rFonts w:hint="eastAsia"/>
          <w:sz w:val="18"/>
          <w:szCs w:val="18"/>
          <w:vertAlign w:val="subscript"/>
        </w:rPr>
        <w:t>i</w:t>
      </w:r>
      <w:r>
        <w:rPr>
          <w:sz w:val="18"/>
          <w:szCs w:val="18"/>
        </w:rPr>
        <w:t>为本周期业绩比较基准</w:t>
      </w:r>
      <w:r>
        <w:rPr>
          <w:rFonts w:hint="eastAsia"/>
          <w:sz w:val="18"/>
          <w:szCs w:val="18"/>
        </w:rPr>
        <w:t>，若业绩比较基准存在区间范围的，则为业绩比较基准区间均值</w:t>
      </w:r>
      <w:r>
        <w:rPr>
          <w:sz w:val="18"/>
          <w:szCs w:val="18"/>
        </w:rPr>
        <w:t>。</w:t>
      </w:r>
    </w:p>
    <w:p>
      <w:pPr>
        <w:adjustRightInd w:val="0"/>
        <w:snapToGrid w:val="0"/>
        <w:spacing w:line="286" w:lineRule="auto"/>
        <w:rPr>
          <w:sz w:val="18"/>
          <w:szCs w:val="18"/>
        </w:rPr>
      </w:pPr>
      <w:r>
        <w:rPr>
          <w:rFonts w:hint="eastAsia"/>
          <w:sz w:val="18"/>
          <w:szCs w:val="18"/>
        </w:rPr>
        <w:t>管理人有权根据理财计划实际运作情况对已计提的浮动管理费余额从理财计划财产中扣除，扣除上限不得超过已计提的浮动管理费余额。</w:t>
      </w:r>
    </w:p>
    <w:p>
      <w:pPr>
        <w:adjustRightInd w:val="0"/>
        <w:snapToGrid w:val="0"/>
        <w:spacing w:line="286" w:lineRule="auto"/>
        <w:rPr>
          <w:sz w:val="18"/>
          <w:szCs w:val="18"/>
        </w:rPr>
      </w:pPr>
      <w:r>
        <w:rPr>
          <w:rFonts w:hint="eastAsia"/>
          <w:sz w:val="18"/>
          <w:szCs w:val="18"/>
        </w:rPr>
        <w:t>注：计算过程不保留位数，最终浮动管理费保留2位小数。</w:t>
      </w:r>
    </w:p>
    <w:p>
      <w:pPr>
        <w:adjustRightInd w:val="0"/>
        <w:snapToGrid w:val="0"/>
        <w:spacing w:line="286" w:lineRule="auto"/>
        <w:rPr>
          <w:sz w:val="18"/>
          <w:szCs w:val="18"/>
        </w:rPr>
      </w:pPr>
      <w:r>
        <w:rPr>
          <w:rFonts w:hint="eastAsia"/>
          <w:sz w:val="18"/>
          <w:szCs w:val="18"/>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rPr>
          <w:sz w:val="18"/>
          <w:szCs w:val="18"/>
        </w:rPr>
      </w:pPr>
      <w:r>
        <w:rPr>
          <w:rFonts w:hint="eastAsia"/>
          <w:sz w:val="18"/>
          <w:szCs w:val="18"/>
        </w:rPr>
        <w:t>【投资者所得收益】</w:t>
      </w:r>
    </w:p>
    <w:p>
      <w:pPr>
        <w:adjustRightInd w:val="0"/>
        <w:snapToGrid w:val="0"/>
        <w:spacing w:line="286" w:lineRule="auto"/>
        <w:rPr>
          <w:sz w:val="18"/>
          <w:szCs w:val="18"/>
        </w:rPr>
      </w:pPr>
      <w:r>
        <w:rPr>
          <w:rFonts w:hint="eastAsia"/>
          <w:sz w:val="18"/>
          <w:szCs w:val="18"/>
        </w:rPr>
        <w:t>投资者理财收益＝认购/申购份额×投资运作周期到期日（提前终止日）理财产品总净值÷理财产品总份额—认购/申购金额。</w:t>
      </w:r>
    </w:p>
    <w:p>
      <w:pPr>
        <w:adjustRightInd w:val="0"/>
        <w:snapToGrid w:val="0"/>
        <w:spacing w:line="286" w:lineRule="auto"/>
        <w:rPr>
          <w:sz w:val="18"/>
          <w:szCs w:val="18"/>
        </w:rPr>
      </w:pPr>
      <w:r>
        <w:rPr>
          <w:rFonts w:hint="eastAsia"/>
          <w:sz w:val="18"/>
          <w:szCs w:val="18"/>
        </w:rPr>
        <w:t>注：上述公式中“投资运作周期到期日（提前终止日）理财产品总净值”为本理财产品资产在扣除托管费、固定管理费、浮动管理费及税费、其他费用等相关费用后计算产生的理财产品总净值。</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理财</w:t>
      </w:r>
      <w:r>
        <w:rPr>
          <w:b/>
          <w:sz w:val="18"/>
          <w:szCs w:val="18"/>
        </w:rPr>
        <w:t>计划</w:t>
      </w:r>
      <w:r>
        <w:rPr>
          <w:rFonts w:hint="eastAsia"/>
          <w:b/>
          <w:sz w:val="18"/>
          <w:szCs w:val="18"/>
        </w:rPr>
        <w:t>到期日</w:t>
      </w:r>
      <w:r>
        <w:rPr>
          <w:b/>
          <w:sz w:val="18"/>
          <w:szCs w:val="18"/>
        </w:rPr>
        <w:t>和利益分配</w:t>
      </w:r>
    </w:p>
    <w:p>
      <w:pPr>
        <w:adjustRightInd w:val="0"/>
        <w:snapToGrid w:val="0"/>
        <w:spacing w:line="286" w:lineRule="auto"/>
        <w:rPr>
          <w:sz w:val="18"/>
          <w:szCs w:val="18"/>
        </w:rPr>
      </w:pPr>
      <w:r>
        <w:rPr>
          <w:rFonts w:hint="eastAsia"/>
          <w:sz w:val="18"/>
          <w:szCs w:val="18"/>
        </w:rPr>
        <w:t>1.投资者持有本理财计划期间及到期时，温州银行不承诺保证本金安全且不保证理财收益，投资者在到期日的应得收益（如有）随投资盈亏水平浮动。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2</w:t>
      </w:r>
      <w:r>
        <w:rPr>
          <w:sz w:val="18"/>
          <w:szCs w:val="18"/>
        </w:rPr>
        <w:t>. 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投资者理财计划到期日应得资金（如有，下同）计算公式如下：</w:t>
      </w:r>
    </w:p>
    <w:p>
      <w:pPr>
        <w:adjustRightInd w:val="0"/>
        <w:snapToGrid w:val="0"/>
        <w:spacing w:line="286" w:lineRule="auto"/>
        <w:rPr>
          <w:sz w:val="18"/>
          <w:szCs w:val="18"/>
        </w:rPr>
      </w:pPr>
      <w:r>
        <w:rPr>
          <w:rFonts w:hint="eastAsia"/>
          <w:sz w:val="18"/>
          <w:szCs w:val="18"/>
        </w:rPr>
        <w:t>投资者应得资金</w:t>
      </w:r>
      <w:r>
        <w:rPr>
          <w:sz w:val="18"/>
          <w:szCs w:val="18"/>
        </w:rPr>
        <w:t>=</w:t>
      </w:r>
      <w:r>
        <w:rPr>
          <w:rFonts w:hint="eastAsia"/>
          <w:sz w:val="18"/>
          <w:szCs w:val="18"/>
        </w:rPr>
        <w:t>投资者理财计划到期日持有理财计划份额×理财计划到期日理财计划份额净值</w:t>
      </w:r>
      <w:r>
        <w:rPr>
          <w:sz w:val="18"/>
          <w:szCs w:val="18"/>
        </w:rPr>
        <w:t>-税费（如有）</w:t>
      </w:r>
    </w:p>
    <w:p>
      <w:pPr>
        <w:adjustRightInd w:val="0"/>
        <w:snapToGrid w:val="0"/>
        <w:spacing w:line="286" w:lineRule="auto"/>
        <w:rPr>
          <w:sz w:val="18"/>
          <w:szCs w:val="18"/>
        </w:rPr>
      </w:pPr>
      <w:r>
        <w:rPr>
          <w:rFonts w:hint="eastAsia"/>
          <w:sz w:val="18"/>
          <w:szCs w:val="18"/>
        </w:rPr>
        <w:t>如因理财</w:t>
      </w:r>
      <w:r>
        <w:rPr>
          <w:sz w:val="18"/>
          <w:szCs w:val="18"/>
        </w:rPr>
        <w:t>计划项</w:t>
      </w:r>
      <w:r>
        <w:rPr>
          <w:rFonts w:hint="eastAsia"/>
          <w:sz w:val="18"/>
          <w:szCs w:val="18"/>
        </w:rPr>
        <w:t>下债券</w:t>
      </w:r>
      <w:r>
        <w:rPr>
          <w:sz w:val="18"/>
          <w:szCs w:val="18"/>
        </w:rPr>
        <w:t>违约等原因，导致资产</w:t>
      </w:r>
      <w:r>
        <w:rPr>
          <w:rFonts w:hint="eastAsia"/>
          <w:sz w:val="18"/>
          <w:szCs w:val="18"/>
        </w:rPr>
        <w:t>无法</w:t>
      </w:r>
      <w:r>
        <w:rPr>
          <w:sz w:val="18"/>
          <w:szCs w:val="18"/>
        </w:rPr>
        <w:t>在</w:t>
      </w:r>
      <w:r>
        <w:rPr>
          <w:rFonts w:hint="eastAsia"/>
          <w:sz w:val="18"/>
          <w:szCs w:val="18"/>
        </w:rPr>
        <w:t>理财计划到期日内变现</w:t>
      </w:r>
      <w:r>
        <w:rPr>
          <w:sz w:val="18"/>
          <w:szCs w:val="18"/>
        </w:rPr>
        <w:t>，</w:t>
      </w:r>
      <w:r>
        <w:rPr>
          <w:rFonts w:hint="eastAsia"/>
          <w:sz w:val="18"/>
          <w:szCs w:val="18"/>
        </w:rPr>
        <w:t>则</w:t>
      </w:r>
      <w:r>
        <w:rPr>
          <w:sz w:val="18"/>
          <w:szCs w:val="18"/>
        </w:rPr>
        <w:t>投资者</w:t>
      </w:r>
      <w:r>
        <w:rPr>
          <w:rFonts w:hint="eastAsia"/>
          <w:sz w:val="18"/>
          <w:szCs w:val="18"/>
        </w:rPr>
        <w:t>应</w:t>
      </w:r>
      <w:r>
        <w:rPr>
          <w:sz w:val="18"/>
          <w:szCs w:val="18"/>
        </w:rPr>
        <w:t>得</w:t>
      </w:r>
      <w:r>
        <w:rPr>
          <w:rFonts w:hint="eastAsia"/>
          <w:sz w:val="18"/>
          <w:szCs w:val="18"/>
        </w:rPr>
        <w:t>资金为</w:t>
      </w:r>
      <w:r>
        <w:rPr>
          <w:sz w:val="18"/>
          <w:szCs w:val="18"/>
        </w:rPr>
        <w:t>实际资产变现</w:t>
      </w:r>
      <w:r>
        <w:rPr>
          <w:rFonts w:hint="eastAsia"/>
          <w:sz w:val="18"/>
          <w:szCs w:val="18"/>
        </w:rPr>
        <w:t>金额</w:t>
      </w:r>
      <w:r>
        <w:rPr>
          <w:sz w:val="18"/>
          <w:szCs w:val="18"/>
        </w:rPr>
        <w:t>扣除应由理财计划承担的费用</w:t>
      </w:r>
      <w:r>
        <w:rPr>
          <w:rFonts w:hint="eastAsia"/>
          <w:sz w:val="18"/>
          <w:szCs w:val="18"/>
        </w:rPr>
        <w:t>、</w:t>
      </w:r>
      <w:r>
        <w:rPr>
          <w:sz w:val="18"/>
          <w:szCs w:val="18"/>
        </w:rPr>
        <w:t>税费</w:t>
      </w:r>
      <w:r>
        <w:rPr>
          <w:rFonts w:hint="eastAsia"/>
          <w:sz w:val="18"/>
          <w:szCs w:val="18"/>
        </w:rPr>
        <w:t>后</w:t>
      </w:r>
      <w:r>
        <w:rPr>
          <w:sz w:val="18"/>
          <w:szCs w:val="18"/>
        </w:rPr>
        <w:t>的剩余金额</w:t>
      </w:r>
      <w:r>
        <w:rPr>
          <w:rFonts w:hint="eastAsia"/>
          <w:sz w:val="18"/>
          <w:szCs w:val="18"/>
        </w:rPr>
        <w:t>。</w:t>
      </w:r>
    </w:p>
    <w:p>
      <w:pPr>
        <w:adjustRightInd w:val="0"/>
        <w:snapToGrid w:val="0"/>
        <w:spacing w:line="286" w:lineRule="auto"/>
        <w:rPr>
          <w:sz w:val="18"/>
          <w:szCs w:val="18"/>
        </w:rPr>
      </w:pPr>
      <w:r>
        <w:rPr>
          <w:rFonts w:hint="eastAsia"/>
          <w:sz w:val="18"/>
          <w:szCs w:val="18"/>
        </w:rPr>
        <w:t>3</w:t>
      </w:r>
      <w:r>
        <w:rPr>
          <w:sz w:val="18"/>
          <w:szCs w:val="18"/>
        </w:rPr>
        <w:t>.</w:t>
      </w:r>
      <w:r>
        <w:rPr>
          <w:rFonts w:hint="eastAsia"/>
          <w:sz w:val="18"/>
          <w:szCs w:val="18"/>
        </w:rPr>
        <w:t>理财</w:t>
      </w:r>
      <w:r>
        <w:rPr>
          <w:sz w:val="18"/>
          <w:szCs w:val="18"/>
        </w:rPr>
        <w:t>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理财计划预计到期收益的测算依据和测算方法</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）每份额收益</w:t>
      </w:r>
      <w:r>
        <w:rPr>
          <w:sz w:val="18"/>
          <w:szCs w:val="18"/>
        </w:rPr>
        <w:t>=</w:t>
      </w:r>
      <w:r>
        <w:rPr>
          <w:rFonts w:hint="eastAsia"/>
          <w:sz w:val="18"/>
          <w:szCs w:val="18"/>
        </w:rPr>
        <w:t>理财计划到期日份额净值-</w:t>
      </w:r>
      <w:r>
        <w:rPr>
          <w:rFonts w:hint="eastAsia" w:ascii="宋体" w:hAnsi="宋体"/>
          <w:sz w:val="18"/>
          <w:lang w:val="zh-CN"/>
        </w:rPr>
        <w:t>认购（申购）确认日前一自然日</w:t>
      </w:r>
      <w:r>
        <w:rPr>
          <w:rFonts w:hint="eastAsia"/>
          <w:sz w:val="18"/>
          <w:szCs w:val="18"/>
        </w:rPr>
        <w:t>份额净值</w:t>
      </w:r>
      <w:r>
        <w:rPr>
          <w:sz w:val="18"/>
          <w:szCs w:val="18"/>
        </w:rPr>
        <w:t>-税费（如有）</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）投资者总收益</w:t>
      </w:r>
      <w:r>
        <w:rPr>
          <w:sz w:val="18"/>
          <w:szCs w:val="18"/>
        </w:rPr>
        <w:t>=</w:t>
      </w:r>
      <w:r>
        <w:rPr>
          <w:rFonts w:hint="eastAsia"/>
          <w:sz w:val="18"/>
          <w:szCs w:val="18"/>
        </w:rPr>
        <w:t>投资者理财计划到期日持有理财计划份额×每份额收益</w:t>
      </w:r>
    </w:p>
    <w:p>
      <w:pPr>
        <w:adjustRightInd w:val="0"/>
        <w:snapToGrid w:val="0"/>
        <w:spacing w:line="286" w:lineRule="auto"/>
        <w:rPr>
          <w:sz w:val="18"/>
          <w:szCs w:val="18"/>
        </w:rPr>
      </w:pPr>
      <w:r>
        <w:rPr>
          <w:rFonts w:hint="eastAsia"/>
          <w:sz w:val="18"/>
          <w:szCs w:val="18"/>
        </w:rPr>
        <w:t>4．理财计划在理财计划到期日到期时，如理财计划项下财产全部变现，温州银行在理财计划到期日后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5.理财计划在理财计划到期日到期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以及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20%，则发生巨额赎回事件，温州银行有权拒绝接受超过20%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ascii="宋体" w:hAnsi="宋体"/>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变化或波动所引起的资产损失的可能性。宏观经济运行的周期性，财政政策、货币政策等国家政策的变动，以及政府对证券市场的监管政策的变化等因素都会对债券市场</w:t>
      </w:r>
      <w:r>
        <w:rPr>
          <w:rFonts w:hint="eastAsia" w:ascii="宋体" w:hAnsi="宋体"/>
          <w:sz w:val="18"/>
          <w:szCs w:val="18"/>
        </w:rPr>
        <w:t>或证券市场</w:t>
      </w:r>
      <w:r>
        <w:rPr>
          <w:rFonts w:ascii="宋体" w:hAnsi="宋体"/>
          <w:sz w:val="18"/>
          <w:szCs w:val="18"/>
        </w:rPr>
        <w:t>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rFonts w:ascii="宋体" w:hAnsi="宋体"/>
          <w:sz w:val="18"/>
          <w:szCs w:val="18"/>
        </w:rPr>
      </w:pPr>
      <w:r>
        <w:rPr>
          <w:rFonts w:hint="eastAsia" w:ascii="宋体" w:hAnsi="宋体"/>
          <w:sz w:val="18"/>
          <w:szCs w:val="18"/>
        </w:rPr>
        <w:t>6延期风险：如因理财计划所投资的标的资产因信用风险、市场风险等原因造成理财计划不能按时兑付，理财期限将相应延长。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1"/>
        <w:adjustRightInd w:val="0"/>
        <w:snapToGrid w:val="0"/>
        <w:spacing w:line="286" w:lineRule="auto"/>
        <w:ind w:firstLine="0"/>
        <w:rPr>
          <w:rFonts w:ascii="Times New Roman" w:hAnsi="Times New Roman" w:cs="Times New Roman"/>
          <w:kern w:val="2"/>
          <w:sz w:val="18"/>
          <w:szCs w:val="18"/>
        </w:rPr>
      </w:pPr>
      <w:r>
        <w:rPr>
          <w:rFonts w:hint="eastAsia" w:ascii="宋体" w:hAnsi="宋体"/>
          <w:sz w:val="18"/>
          <w:szCs w:val="18"/>
        </w:rPr>
        <w:t>9</w:t>
      </w:r>
      <w:r>
        <w:rPr>
          <w:rFonts w:hint="eastAsia" w:ascii="Times New Roman" w:hAnsi="Times New Roman" w:cs="Times New Roman"/>
          <w:kern w:val="2"/>
          <w:sz w:val="18"/>
          <w:szCs w:val="18"/>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1"/>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温州银行将在每个开放周期结束后2日内，披露开放式公募理财产品在开放周期清算日的份额净值、份额累计净值、认购（申购）价格和赎回价格。</w:t>
      </w:r>
    </w:p>
    <w:p>
      <w:pPr>
        <w:numPr>
          <w:ilvl w:val="0"/>
          <w:numId w:val="4"/>
        </w:numPr>
        <w:adjustRightInd w:val="0"/>
        <w:snapToGrid w:val="0"/>
        <w:spacing w:line="286" w:lineRule="auto"/>
        <w:rPr>
          <w:sz w:val="18"/>
          <w:szCs w:val="18"/>
        </w:rPr>
      </w:pPr>
      <w:r>
        <w:rPr>
          <w:rFonts w:hint="eastAsia"/>
          <w:sz w:val="18"/>
          <w:szCs w:val="18"/>
        </w:rPr>
        <w:t>临时性公告：</w:t>
      </w:r>
    </w:p>
    <w:p>
      <w:pPr>
        <w:adjustRightInd w:val="0"/>
        <w:snapToGrid w:val="0"/>
        <w:spacing w:line="286" w:lineRule="auto"/>
        <w:rPr>
          <w:sz w:val="18"/>
          <w:szCs w:val="18"/>
        </w:rPr>
      </w:pPr>
      <w:r>
        <w:rPr>
          <w:rFonts w:hint="eastAsia"/>
          <w:sz w:val="18"/>
          <w:szCs w:val="18"/>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3）管理人将在运用收取短期赎回费、摆动定价等措施后，3个交易日内发布相关事项公告；在运用暂停认购、延期办理巨额赎回申请、暂停接受赎回申请、延缓支付赎回款项、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76" w:lineRule="auto"/>
        <w:rPr>
          <w:b/>
          <w:sz w:val="18"/>
          <w:szCs w:val="18"/>
        </w:rPr>
      </w:pPr>
      <w:r>
        <w:rPr>
          <w:rFonts w:hint="eastAsia"/>
          <w:sz w:val="18"/>
          <w:szCs w:val="18"/>
        </w:rPr>
        <w:t>温州银行对投资者所签署理财相关协议及其条款负有保密义务。温州银行将依据相关法律、法规严格履行投资者信息保密责任，除监管机构或司法机关等有权机构外，不得对其他第三方商业机构提供投资者信息。</w:t>
      </w:r>
    </w:p>
    <w:p>
      <w:pPr>
        <w:adjustRightInd w:val="0"/>
        <w:snapToGrid w:val="0"/>
        <w:spacing w:line="28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b/>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w:t>
      </w:r>
    </w:p>
    <w:p>
      <w:pPr>
        <w:adjustRightInd w:val="0"/>
        <w:snapToGrid w:val="0"/>
        <w:spacing w:line="286" w:lineRule="auto"/>
        <w:rPr>
          <w:sz w:val="18"/>
          <w:szCs w:val="18"/>
        </w:rPr>
      </w:pPr>
      <w:r>
        <w:rPr>
          <w:rFonts w:hint="eastAsia"/>
          <w:sz w:val="18"/>
          <w:szCs w:val="18"/>
        </w:rPr>
        <w:t>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sz w:val="18"/>
          <w:szCs w:val="18"/>
        </w:rPr>
        <w:t>（3）《温州银行“金鹿理财-</w:t>
      </w:r>
      <w:r>
        <w:rPr>
          <w:rFonts w:hint="eastAsia"/>
          <w:color w:val="000000"/>
          <w:sz w:val="18"/>
          <w:szCs w:val="18"/>
        </w:rPr>
        <w:t>温盈”19006号开放式净值型银行理财计划风险揭示书》、《温州银行“金鹿理财”银行理财计划合约》、《温州银行“金鹿理财</w:t>
      </w:r>
      <w:r>
        <w:rPr>
          <w:rFonts w:hint="eastAsia"/>
          <w:sz w:val="18"/>
          <w:szCs w:val="18"/>
        </w:rPr>
        <w:t>-</w:t>
      </w:r>
      <w:r>
        <w:rPr>
          <w:rFonts w:hint="eastAsia"/>
          <w:color w:val="000000"/>
          <w:sz w:val="18"/>
          <w:szCs w:val="18"/>
        </w:rPr>
        <w:t>温盈”19006号开放式净值型（第</w:t>
      </w:r>
      <w:r>
        <w:rPr>
          <w:rFonts w:hint="eastAsia"/>
          <w:sz w:val="18"/>
          <w:szCs w:val="18"/>
        </w:rPr>
        <w:t>i期）银行理财计划开放认购（申购）申请书》和《温州银行理财产品投资者权益须知》等销售文件中的内容与本产品说明书不一致的，以本产品说明书约定的内容为准。</w:t>
      </w:r>
    </w:p>
    <w:p>
      <w:pPr>
        <w:adjustRightInd w:val="0"/>
        <w:snapToGrid w:val="0"/>
        <w:spacing w:line="286" w:lineRule="auto"/>
        <w:rPr>
          <w:sz w:val="18"/>
          <w:szCs w:val="18"/>
        </w:rPr>
      </w:pPr>
    </w:p>
    <w:p>
      <w:pPr>
        <w:spacing w:before="312" w:beforeLines="100" w:line="281" w:lineRule="auto"/>
        <w:rPr>
          <w:rFonts w:ascii="宋体" w:hAnsi="宋体"/>
          <w:szCs w:val="21"/>
        </w:rPr>
      </w:pPr>
      <w:r>
        <w:rPr>
          <w:rFonts w:hint="eastAsia" w:ascii="宋体" w:hAnsi="宋体"/>
          <w:szCs w:val="21"/>
        </w:rPr>
        <w:t xml:space="preserve">         投资者签章：                                 日期：</w:t>
      </w:r>
    </w:p>
    <w:p>
      <w:pPr>
        <w:spacing w:line="372" w:lineRule="auto"/>
        <w:rPr>
          <w:rFonts w:ascii="黑体" w:eastAsia="黑体"/>
          <w:sz w:val="30"/>
          <w:szCs w:val="30"/>
        </w:rPr>
      </w:pPr>
    </w:p>
    <w:sectPr>
      <w:footerReference r:id="rId3" w:type="default"/>
      <w:pgSz w:w="11906" w:h="16838"/>
      <w:pgMar w:top="851"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仿宋_GB2312">
    <w:altName w:val="仿宋"/>
    <w:panose1 w:val="02010609030101010101"/>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7</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11</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737DF8"/>
    <w:multiLevelType w:val="singleLevel"/>
    <w:tmpl w:val="92737DF8"/>
    <w:lvl w:ilvl="0" w:tentative="0">
      <w:start w:val="3"/>
      <w:numFmt w:val="decimal"/>
      <w:suff w:val="nothing"/>
      <w:lvlText w:val="%1、"/>
      <w:lvlJc w:val="left"/>
    </w:lvl>
  </w:abstractNum>
  <w:abstractNum w:abstractNumId="1">
    <w:nsid w:val="03829B1D"/>
    <w:multiLevelType w:val="singleLevel"/>
    <w:tmpl w:val="03829B1D"/>
    <w:lvl w:ilvl="0" w:tentative="0">
      <w:start w:val="4"/>
      <w:numFmt w:val="decimal"/>
      <w:suff w:val="nothing"/>
      <w:lvlText w:val="%1、"/>
      <w:lvlJc w:val="left"/>
    </w:lvl>
  </w:abstractNum>
  <w:abstractNum w:abstractNumId="2">
    <w:nsid w:val="0DCAC7AF"/>
    <w:multiLevelType w:val="singleLevel"/>
    <w:tmpl w:val="0DCAC7AF"/>
    <w:lvl w:ilvl="0" w:tentative="0">
      <w:start w:val="1"/>
      <w:numFmt w:val="decimal"/>
      <w:suff w:val="nothing"/>
      <w:lvlText w:val="%1）"/>
      <w:lvlJc w:val="left"/>
    </w:lvl>
  </w:abstractNum>
  <w:abstractNum w:abstractNumId="3">
    <w:nsid w:val="63C75758"/>
    <w:multiLevelType w:val="singleLevel"/>
    <w:tmpl w:val="63C75758"/>
    <w:lvl w:ilvl="0" w:tentative="0">
      <w:start w:val="11"/>
      <w:numFmt w:val="decimal"/>
      <w:suff w:val="nothing"/>
      <w:lvlText w:val="（%1）"/>
      <w:lvlJc w:val="left"/>
    </w:lvl>
  </w:abstractNum>
  <w:num w:numId="1">
    <w:abstractNumId w:val="1"/>
  </w:num>
  <w:num w:numId="2">
    <w:abstractNumId w:val="3"/>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1" w:cryptProviderType="rsaFull" w:cryptAlgorithmClass="hash" w:cryptAlgorithmType="typeAny" w:cryptAlgorithmSid="4" w:cryptSpinCount="0" w:hash="KPLwaLG2Fj8ZgiZdK0wDNJKtZwU=" w:salt="n9a1d8Uf9lpl22fVQMVJZw=="/>
  <w:defaultTabStop w:val="42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21A55"/>
    <w:rsid w:val="0002530D"/>
    <w:rsid w:val="00030D80"/>
    <w:rsid w:val="00033C01"/>
    <w:rsid w:val="00037BF4"/>
    <w:rsid w:val="00072738"/>
    <w:rsid w:val="000773B8"/>
    <w:rsid w:val="00080D74"/>
    <w:rsid w:val="000914E7"/>
    <w:rsid w:val="000A000E"/>
    <w:rsid w:val="000A6768"/>
    <w:rsid w:val="000A76AD"/>
    <w:rsid w:val="000B6643"/>
    <w:rsid w:val="000C4E56"/>
    <w:rsid w:val="000E4DFB"/>
    <w:rsid w:val="001174B1"/>
    <w:rsid w:val="001327C2"/>
    <w:rsid w:val="001513E8"/>
    <w:rsid w:val="00172A27"/>
    <w:rsid w:val="00174C1E"/>
    <w:rsid w:val="00175BC0"/>
    <w:rsid w:val="001A4FD5"/>
    <w:rsid w:val="001B072E"/>
    <w:rsid w:val="001B3C36"/>
    <w:rsid w:val="001C4450"/>
    <w:rsid w:val="001C5082"/>
    <w:rsid w:val="001E0DF4"/>
    <w:rsid w:val="00200136"/>
    <w:rsid w:val="00200E4E"/>
    <w:rsid w:val="002227DF"/>
    <w:rsid w:val="0022470B"/>
    <w:rsid w:val="00232248"/>
    <w:rsid w:val="00240506"/>
    <w:rsid w:val="00254268"/>
    <w:rsid w:val="00263685"/>
    <w:rsid w:val="00277F68"/>
    <w:rsid w:val="0028308E"/>
    <w:rsid w:val="00283708"/>
    <w:rsid w:val="00284CF7"/>
    <w:rsid w:val="00292B4F"/>
    <w:rsid w:val="00292D5F"/>
    <w:rsid w:val="002B0DB2"/>
    <w:rsid w:val="002B4C51"/>
    <w:rsid w:val="002D2FEE"/>
    <w:rsid w:val="002D38E1"/>
    <w:rsid w:val="002F586E"/>
    <w:rsid w:val="00316211"/>
    <w:rsid w:val="003202D1"/>
    <w:rsid w:val="00327CC1"/>
    <w:rsid w:val="00331715"/>
    <w:rsid w:val="00337FAA"/>
    <w:rsid w:val="00365AC9"/>
    <w:rsid w:val="00377D40"/>
    <w:rsid w:val="00393B79"/>
    <w:rsid w:val="003C7E63"/>
    <w:rsid w:val="003D56A0"/>
    <w:rsid w:val="003E17D1"/>
    <w:rsid w:val="003E695A"/>
    <w:rsid w:val="0041485A"/>
    <w:rsid w:val="004149A7"/>
    <w:rsid w:val="00417895"/>
    <w:rsid w:val="00417F06"/>
    <w:rsid w:val="004278C0"/>
    <w:rsid w:val="004317BE"/>
    <w:rsid w:val="00445820"/>
    <w:rsid w:val="00447041"/>
    <w:rsid w:val="00456806"/>
    <w:rsid w:val="004668AB"/>
    <w:rsid w:val="00470F35"/>
    <w:rsid w:val="004B2EAB"/>
    <w:rsid w:val="004C668B"/>
    <w:rsid w:val="004D22D2"/>
    <w:rsid w:val="004D5727"/>
    <w:rsid w:val="004D78AD"/>
    <w:rsid w:val="004F56C1"/>
    <w:rsid w:val="0050183B"/>
    <w:rsid w:val="00514DB5"/>
    <w:rsid w:val="005236A4"/>
    <w:rsid w:val="00526355"/>
    <w:rsid w:val="00541381"/>
    <w:rsid w:val="00543E6B"/>
    <w:rsid w:val="005447D7"/>
    <w:rsid w:val="0054786A"/>
    <w:rsid w:val="00565D6D"/>
    <w:rsid w:val="00595828"/>
    <w:rsid w:val="005D00A7"/>
    <w:rsid w:val="005F0ADF"/>
    <w:rsid w:val="005F5EC0"/>
    <w:rsid w:val="00606B12"/>
    <w:rsid w:val="00635890"/>
    <w:rsid w:val="006371D5"/>
    <w:rsid w:val="00645D61"/>
    <w:rsid w:val="00670ACF"/>
    <w:rsid w:val="00680B55"/>
    <w:rsid w:val="006871D5"/>
    <w:rsid w:val="006940BB"/>
    <w:rsid w:val="006A44DB"/>
    <w:rsid w:val="006A4DCA"/>
    <w:rsid w:val="006B31B2"/>
    <w:rsid w:val="006C2646"/>
    <w:rsid w:val="006E0989"/>
    <w:rsid w:val="006E7B4A"/>
    <w:rsid w:val="0071552D"/>
    <w:rsid w:val="00716CFC"/>
    <w:rsid w:val="00720A64"/>
    <w:rsid w:val="0072441B"/>
    <w:rsid w:val="007418E8"/>
    <w:rsid w:val="007420B8"/>
    <w:rsid w:val="00751573"/>
    <w:rsid w:val="00781E33"/>
    <w:rsid w:val="007946C3"/>
    <w:rsid w:val="007A0DD0"/>
    <w:rsid w:val="007A2668"/>
    <w:rsid w:val="007B319B"/>
    <w:rsid w:val="007B43C7"/>
    <w:rsid w:val="007B4F0A"/>
    <w:rsid w:val="007D5309"/>
    <w:rsid w:val="007D6AB9"/>
    <w:rsid w:val="007D74E0"/>
    <w:rsid w:val="007E5A98"/>
    <w:rsid w:val="007E78B8"/>
    <w:rsid w:val="0080322B"/>
    <w:rsid w:val="0083490C"/>
    <w:rsid w:val="008507F2"/>
    <w:rsid w:val="00853209"/>
    <w:rsid w:val="008538DA"/>
    <w:rsid w:val="008603CA"/>
    <w:rsid w:val="00864A10"/>
    <w:rsid w:val="00875641"/>
    <w:rsid w:val="00883377"/>
    <w:rsid w:val="00883BDE"/>
    <w:rsid w:val="00884B07"/>
    <w:rsid w:val="008A0854"/>
    <w:rsid w:val="008A2774"/>
    <w:rsid w:val="008C274F"/>
    <w:rsid w:val="008E35D2"/>
    <w:rsid w:val="008F77F3"/>
    <w:rsid w:val="00905E6C"/>
    <w:rsid w:val="0091076A"/>
    <w:rsid w:val="00926BDB"/>
    <w:rsid w:val="00926E46"/>
    <w:rsid w:val="009361EA"/>
    <w:rsid w:val="00940984"/>
    <w:rsid w:val="00955C82"/>
    <w:rsid w:val="00964F72"/>
    <w:rsid w:val="009660F8"/>
    <w:rsid w:val="00971FC9"/>
    <w:rsid w:val="0098184C"/>
    <w:rsid w:val="0098325C"/>
    <w:rsid w:val="0098666D"/>
    <w:rsid w:val="009943AE"/>
    <w:rsid w:val="0099651C"/>
    <w:rsid w:val="009B2D45"/>
    <w:rsid w:val="009B3CA4"/>
    <w:rsid w:val="009D7B61"/>
    <w:rsid w:val="009F35B4"/>
    <w:rsid w:val="00A02C99"/>
    <w:rsid w:val="00A03C1B"/>
    <w:rsid w:val="00A34CB4"/>
    <w:rsid w:val="00A44DF1"/>
    <w:rsid w:val="00A63935"/>
    <w:rsid w:val="00A7512B"/>
    <w:rsid w:val="00A75676"/>
    <w:rsid w:val="00A85414"/>
    <w:rsid w:val="00A94352"/>
    <w:rsid w:val="00A96B10"/>
    <w:rsid w:val="00AA0BCA"/>
    <w:rsid w:val="00AA235B"/>
    <w:rsid w:val="00AA798B"/>
    <w:rsid w:val="00AB07C5"/>
    <w:rsid w:val="00AB1240"/>
    <w:rsid w:val="00AB4C88"/>
    <w:rsid w:val="00AB5E02"/>
    <w:rsid w:val="00AC0326"/>
    <w:rsid w:val="00AC4F2E"/>
    <w:rsid w:val="00AE07D8"/>
    <w:rsid w:val="00AF3269"/>
    <w:rsid w:val="00B13AE6"/>
    <w:rsid w:val="00B1785B"/>
    <w:rsid w:val="00B21C5E"/>
    <w:rsid w:val="00B72700"/>
    <w:rsid w:val="00B9709A"/>
    <w:rsid w:val="00BB746A"/>
    <w:rsid w:val="00BF2243"/>
    <w:rsid w:val="00BF4706"/>
    <w:rsid w:val="00C027A1"/>
    <w:rsid w:val="00C0532A"/>
    <w:rsid w:val="00C059F8"/>
    <w:rsid w:val="00C242A5"/>
    <w:rsid w:val="00C57CDF"/>
    <w:rsid w:val="00C80707"/>
    <w:rsid w:val="00C84D81"/>
    <w:rsid w:val="00C97136"/>
    <w:rsid w:val="00CA13A5"/>
    <w:rsid w:val="00CC2C76"/>
    <w:rsid w:val="00CC765E"/>
    <w:rsid w:val="00CC7760"/>
    <w:rsid w:val="00CE5EBC"/>
    <w:rsid w:val="00D356D1"/>
    <w:rsid w:val="00D36208"/>
    <w:rsid w:val="00D41F07"/>
    <w:rsid w:val="00D512E8"/>
    <w:rsid w:val="00D55DFB"/>
    <w:rsid w:val="00D57AFE"/>
    <w:rsid w:val="00D6260D"/>
    <w:rsid w:val="00D63DA7"/>
    <w:rsid w:val="00D82A41"/>
    <w:rsid w:val="00D93FDC"/>
    <w:rsid w:val="00D94430"/>
    <w:rsid w:val="00DA3F75"/>
    <w:rsid w:val="00DB0875"/>
    <w:rsid w:val="00DC2FF0"/>
    <w:rsid w:val="00DC7C59"/>
    <w:rsid w:val="00DD29AD"/>
    <w:rsid w:val="00DE34C0"/>
    <w:rsid w:val="00E1017C"/>
    <w:rsid w:val="00E12F16"/>
    <w:rsid w:val="00E16528"/>
    <w:rsid w:val="00E21F91"/>
    <w:rsid w:val="00E32508"/>
    <w:rsid w:val="00E3681B"/>
    <w:rsid w:val="00E40303"/>
    <w:rsid w:val="00E42C84"/>
    <w:rsid w:val="00E65B25"/>
    <w:rsid w:val="00E662D2"/>
    <w:rsid w:val="00E70F57"/>
    <w:rsid w:val="00E71505"/>
    <w:rsid w:val="00E754E0"/>
    <w:rsid w:val="00E84D0D"/>
    <w:rsid w:val="00E8643F"/>
    <w:rsid w:val="00E87CB9"/>
    <w:rsid w:val="00E909CC"/>
    <w:rsid w:val="00EA75DD"/>
    <w:rsid w:val="00EB3CE4"/>
    <w:rsid w:val="00EC4367"/>
    <w:rsid w:val="00ED5CF3"/>
    <w:rsid w:val="00F049E8"/>
    <w:rsid w:val="00F15351"/>
    <w:rsid w:val="00F64025"/>
    <w:rsid w:val="00F8620F"/>
    <w:rsid w:val="00F9213E"/>
    <w:rsid w:val="00F94C2E"/>
    <w:rsid w:val="00FC488B"/>
    <w:rsid w:val="00FD4E62"/>
    <w:rsid w:val="00FE457F"/>
    <w:rsid w:val="07EC55A4"/>
    <w:rsid w:val="0E697CA7"/>
    <w:rsid w:val="0F1A3EC9"/>
    <w:rsid w:val="0F3A26CB"/>
    <w:rsid w:val="10D46D68"/>
    <w:rsid w:val="110A015B"/>
    <w:rsid w:val="11AD367A"/>
    <w:rsid w:val="12AF54F8"/>
    <w:rsid w:val="12C37B94"/>
    <w:rsid w:val="12C50DEC"/>
    <w:rsid w:val="15217A25"/>
    <w:rsid w:val="17277EF5"/>
    <w:rsid w:val="17D47E76"/>
    <w:rsid w:val="1A0C55B0"/>
    <w:rsid w:val="1AE73988"/>
    <w:rsid w:val="1B042A21"/>
    <w:rsid w:val="1B791582"/>
    <w:rsid w:val="1B8D49E4"/>
    <w:rsid w:val="1C813061"/>
    <w:rsid w:val="1D7D329E"/>
    <w:rsid w:val="1E9802D8"/>
    <w:rsid w:val="1F992244"/>
    <w:rsid w:val="1FF86756"/>
    <w:rsid w:val="21716EFD"/>
    <w:rsid w:val="228F020A"/>
    <w:rsid w:val="243D7238"/>
    <w:rsid w:val="25385D7F"/>
    <w:rsid w:val="25D455A1"/>
    <w:rsid w:val="26221CB1"/>
    <w:rsid w:val="284D2E1D"/>
    <w:rsid w:val="306F7311"/>
    <w:rsid w:val="31253F01"/>
    <w:rsid w:val="33157C11"/>
    <w:rsid w:val="34B42407"/>
    <w:rsid w:val="35EA1207"/>
    <w:rsid w:val="36E42715"/>
    <w:rsid w:val="382F302B"/>
    <w:rsid w:val="38747519"/>
    <w:rsid w:val="38E45900"/>
    <w:rsid w:val="39C8686F"/>
    <w:rsid w:val="3BE35F9B"/>
    <w:rsid w:val="3F063D4E"/>
    <w:rsid w:val="3FC979F3"/>
    <w:rsid w:val="40076C80"/>
    <w:rsid w:val="42A87CFF"/>
    <w:rsid w:val="47F32BE2"/>
    <w:rsid w:val="497C717E"/>
    <w:rsid w:val="49815F2A"/>
    <w:rsid w:val="49C633C6"/>
    <w:rsid w:val="4A2E173D"/>
    <w:rsid w:val="4ABC78E8"/>
    <w:rsid w:val="4ED34292"/>
    <w:rsid w:val="4FC865FE"/>
    <w:rsid w:val="524916E3"/>
    <w:rsid w:val="52544188"/>
    <w:rsid w:val="55312E83"/>
    <w:rsid w:val="55CE1987"/>
    <w:rsid w:val="55EF3F6F"/>
    <w:rsid w:val="576363EF"/>
    <w:rsid w:val="58780E48"/>
    <w:rsid w:val="58E62499"/>
    <w:rsid w:val="59647D3E"/>
    <w:rsid w:val="5A250F91"/>
    <w:rsid w:val="5CC812FA"/>
    <w:rsid w:val="5CCC65F5"/>
    <w:rsid w:val="5E821239"/>
    <w:rsid w:val="5F650D3C"/>
    <w:rsid w:val="61AE7F1D"/>
    <w:rsid w:val="637E1589"/>
    <w:rsid w:val="658E5B8D"/>
    <w:rsid w:val="686A13AA"/>
    <w:rsid w:val="6D657193"/>
    <w:rsid w:val="6F0A3BD3"/>
    <w:rsid w:val="73E45411"/>
    <w:rsid w:val="74B84FF6"/>
    <w:rsid w:val="75F7452C"/>
    <w:rsid w:val="769A561B"/>
    <w:rsid w:val="77D232A2"/>
    <w:rsid w:val="78115854"/>
    <w:rsid w:val="7BF13C4F"/>
    <w:rsid w:val="7DDE5540"/>
    <w:rsid w:val="7DE500BC"/>
    <w:rsid w:val="7E1750DA"/>
    <w:rsid w:val="8FFA5ACE"/>
    <w:rsid w:val="F6CDD18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9">
    <w:name w:val="Default Paragraph Font"/>
    <w:semiHidden/>
    <w:unhideWhenUsed/>
    <w:uiPriority w:val="1"/>
  </w:style>
  <w:style w:type="table" w:default="1" w:styleId="8">
    <w:name w:val="Normal Table"/>
    <w:semiHidden/>
    <w:unhideWhenUsed/>
    <w:uiPriority w:val="99"/>
    <w:tblPr>
      <w:tblCellMar>
        <w:top w:w="0" w:type="dxa"/>
        <w:left w:w="108" w:type="dxa"/>
        <w:bottom w:w="0" w:type="dxa"/>
        <w:right w:w="108" w:type="dxa"/>
      </w:tblCellMar>
    </w:tblPr>
  </w:style>
  <w:style w:type="paragraph" w:styleId="2">
    <w:name w:val="annotation text"/>
    <w:basedOn w:val="1"/>
    <w:link w:val="15"/>
    <w:unhideWhenUsed/>
    <w:qFormat/>
    <w:uiPriority w:val="99"/>
    <w:pPr>
      <w:jc w:val="left"/>
    </w:pPr>
  </w:style>
  <w:style w:type="paragraph" w:styleId="3">
    <w:name w:val="Balloon Text"/>
    <w:basedOn w:val="1"/>
    <w:link w:val="14"/>
    <w:unhideWhenUsed/>
    <w:qFormat/>
    <w:uiPriority w:val="99"/>
    <w:rPr>
      <w:sz w:val="18"/>
      <w:szCs w:val="18"/>
    </w:rPr>
  </w:style>
  <w:style w:type="paragraph" w:styleId="4">
    <w:name w:val="footer"/>
    <w:basedOn w:val="1"/>
    <w:link w:val="17"/>
    <w:unhideWhenUsed/>
    <w:qFormat/>
    <w:uiPriority w:val="99"/>
    <w:pPr>
      <w:tabs>
        <w:tab w:val="center" w:pos="4153"/>
        <w:tab w:val="right" w:pos="8306"/>
      </w:tabs>
      <w:snapToGrid w:val="0"/>
      <w:jc w:val="left"/>
    </w:pPr>
    <w:rPr>
      <w:rFonts w:ascii="Calibri" w:hAnsi="Calibri"/>
      <w:kern w:val="0"/>
      <w:sz w:val="18"/>
      <w:szCs w:val="18"/>
    </w:rPr>
  </w:style>
  <w:style w:type="paragraph" w:styleId="5">
    <w:name w:val="header"/>
    <w:basedOn w:val="1"/>
    <w:link w:val="16"/>
    <w:unhideWhenUsed/>
    <w:qFormat/>
    <w:uiPriority w:val="99"/>
    <w:pPr>
      <w:pBdr>
        <w:bottom w:val="single" w:color="auto" w:sz="6" w:space="1"/>
      </w:pBdr>
      <w:tabs>
        <w:tab w:val="center" w:pos="4153"/>
        <w:tab w:val="right" w:pos="8306"/>
      </w:tabs>
      <w:snapToGrid w:val="0"/>
      <w:jc w:val="center"/>
    </w:pPr>
    <w:rPr>
      <w:rFonts w:ascii="Calibri" w:hAnsi="Calibri"/>
      <w:kern w:val="0"/>
      <w:sz w:val="18"/>
      <w:szCs w:val="18"/>
    </w:rPr>
  </w:style>
  <w:style w:type="paragraph" w:styleId="6">
    <w:name w:val="Normal (Web)"/>
    <w:basedOn w:val="1"/>
    <w:unhideWhenUsed/>
    <w:qFormat/>
    <w:uiPriority w:val="99"/>
    <w:rPr>
      <w:sz w:val="24"/>
    </w:rPr>
  </w:style>
  <w:style w:type="paragraph" w:styleId="7">
    <w:name w:val="annotation subject"/>
    <w:basedOn w:val="2"/>
    <w:next w:val="2"/>
    <w:link w:val="18"/>
    <w:unhideWhenUsed/>
    <w:qFormat/>
    <w:uiPriority w:val="99"/>
    <w:rPr>
      <w:b/>
      <w:bCs/>
    </w:rPr>
  </w:style>
  <w:style w:type="character" w:styleId="10">
    <w:name w:val="annotation reference"/>
    <w:unhideWhenUsed/>
    <w:qFormat/>
    <w:uiPriority w:val="99"/>
    <w:rPr>
      <w:sz w:val="21"/>
      <w:szCs w:val="21"/>
    </w:rPr>
  </w:style>
  <w:style w:type="paragraph" w:styleId="11">
    <w:name w:val="List Paragraph"/>
    <w:basedOn w:val="1"/>
    <w:qFormat/>
    <w:uiPriority w:val="34"/>
    <w:pPr>
      <w:widowControl/>
      <w:ind w:firstLine="420"/>
    </w:pPr>
    <w:rPr>
      <w:rFonts w:ascii="Calibri" w:hAnsi="Calibri" w:cs="宋体"/>
      <w:kern w:val="0"/>
      <w:szCs w:val="21"/>
    </w:rPr>
  </w:style>
  <w:style w:type="paragraph" w:customStyle="1" w:styleId="12">
    <w:name w:val="Default"/>
    <w:qFormat/>
    <w:uiPriority w:val="0"/>
    <w:pPr>
      <w:widowControl w:val="0"/>
      <w:autoSpaceDE w:val="0"/>
      <w:autoSpaceDN w:val="0"/>
      <w:adjustRightInd w:val="0"/>
    </w:pPr>
    <w:rPr>
      <w:rFonts w:ascii="仿宋_GB2312" w:hAnsi="Times New Roman" w:eastAsia="仿宋_GB2312" w:cs="仿宋_GB2312"/>
      <w:color w:val="000000"/>
      <w:sz w:val="24"/>
      <w:szCs w:val="24"/>
      <w:lang w:val="en-US" w:eastAsia="zh-CN" w:bidi="ar-SA"/>
    </w:rPr>
  </w:style>
  <w:style w:type="paragraph" w:customStyle="1" w:styleId="13">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character" w:customStyle="1" w:styleId="14">
    <w:name w:val="批注框文本 字符"/>
    <w:link w:val="3"/>
    <w:semiHidden/>
    <w:qFormat/>
    <w:uiPriority w:val="99"/>
    <w:rPr>
      <w:rFonts w:ascii="Times New Roman" w:hAnsi="Times New Roman"/>
      <w:kern w:val="2"/>
      <w:sz w:val="18"/>
      <w:szCs w:val="18"/>
    </w:rPr>
  </w:style>
  <w:style w:type="character" w:customStyle="1" w:styleId="15">
    <w:name w:val="批注文字 字符"/>
    <w:link w:val="2"/>
    <w:semiHidden/>
    <w:qFormat/>
    <w:uiPriority w:val="99"/>
    <w:rPr>
      <w:rFonts w:ascii="Times New Roman" w:hAnsi="Times New Roman"/>
      <w:kern w:val="2"/>
      <w:sz w:val="21"/>
    </w:rPr>
  </w:style>
  <w:style w:type="character" w:customStyle="1" w:styleId="16">
    <w:name w:val="页眉 字符"/>
    <w:link w:val="5"/>
    <w:semiHidden/>
    <w:qFormat/>
    <w:uiPriority w:val="99"/>
    <w:rPr>
      <w:sz w:val="18"/>
      <w:szCs w:val="18"/>
    </w:rPr>
  </w:style>
  <w:style w:type="character" w:customStyle="1" w:styleId="17">
    <w:name w:val="页脚 字符"/>
    <w:link w:val="4"/>
    <w:qFormat/>
    <w:uiPriority w:val="99"/>
    <w:rPr>
      <w:sz w:val="18"/>
      <w:szCs w:val="18"/>
    </w:rPr>
  </w:style>
  <w:style w:type="character" w:customStyle="1" w:styleId="18">
    <w:name w:val="批注主题 字符"/>
    <w:link w:val="7"/>
    <w:semiHidden/>
    <w:qFormat/>
    <w:uiPriority w:val="99"/>
    <w:rPr>
      <w:rFonts w:ascii="Times New Roman" w:hAnsi="Times New Roman"/>
      <w:b/>
      <w:bCs/>
      <w:kern w:val="2"/>
      <w:sz w:val="21"/>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微软中国</Company>
  <Pages>11</Pages>
  <Words>2777</Words>
  <Characters>15831</Characters>
  <Lines>131</Lines>
  <Paragraphs>37</Paragraphs>
  <TotalTime>15</TotalTime>
  <ScaleCrop>false</ScaleCrop>
  <LinksUpToDate>false</LinksUpToDate>
  <CharactersWithSpaces>18571</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2022-01-17T17:29:00Z</dcterms:created>
  <dc:creator>陈浩01</dc:creator>
  <cp:lastModifiedBy>应心茹</cp:lastModifiedBy>
  <cp:lastPrinted>2016-09-02T23:01:00Z</cp:lastPrinted>
  <dcterms:modified xsi:type="dcterms:W3CDTF">2024-01-29T07:01:08Z</dcterms:modified>
  <dc:title>温州银行“金鹿理财-温盈”1号银行理财计划风险揭示书</dc:title>
  <cp:revision>17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D79C527963CA7DEC4491D464EEA356A9_42</vt:lpwstr>
  </property>
</Properties>
</file>