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第12期91天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12</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2024年2月23日至2024年2月26日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2024年5月21日</w:t>
            </w:r>
            <w:r>
              <w:rPr>
                <w:rFonts w:hint="eastAsia" w:ascii="宋体" w:hAnsi="宋体" w:eastAsia="宋体" w:cs="Times New Roman"/>
                <w:color w:val="000000"/>
                <w:kern w:val="0"/>
                <w:sz w:val="18"/>
                <w:szCs w:val="18"/>
                <w:u w:val="single"/>
                <w:lang w:val="en-US" w:eastAsia="zh-Hans" w:bidi="ar-SA"/>
              </w:rPr>
              <w:t>至2024年5月27日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“金鹿理财-普惠季享”1号开放式净值型银行理财计划风险揭示书》、《温州银行“金鹿理财-普惠季享”1号开放式净值型银行理财计划产品说明书》、《温州银行“金鹿理财-普惠季享”1号开放式净值型（第</w:t>
            </w:r>
            <w:r>
              <w:rPr>
                <w:rFonts w:hint="eastAsia" w:ascii="宋体" w:hAnsi="宋体" w:eastAsia="宋体"/>
                <w:color w:val="000000"/>
                <w:sz w:val="18"/>
                <w:szCs w:val="20"/>
                <w:lang w:val="en-US" w:eastAsia="zh-Hans"/>
              </w:rPr>
              <w:t>12</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6apn+iCpSP6j/vO1ddm553bCZ7U=" w:salt="K6yg1p11Eo8grYf6oPUs2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DFF0A7F"/>
    <w:rsid w:val="3BEF0754"/>
    <w:rsid w:val="511E88BC"/>
    <w:rsid w:val="7F7EC3B3"/>
    <w:rsid w:val="BBDDF786"/>
    <w:rsid w:val="D17D9BC8"/>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