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第11期88天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期88天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2024年2月19日至2024年2月22日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88天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2024年5月14日</w:t>
            </w:r>
            <w:r>
              <w:rPr>
                <w:rFonts w:hint="eastAsia" w:ascii="宋体" w:hAnsi="宋体" w:eastAsia="宋体" w:cs="Times New Roman"/>
                <w:color w:val="000000"/>
                <w:kern w:val="0"/>
                <w:sz w:val="18"/>
                <w:szCs w:val="18"/>
                <w:u w:val="single"/>
                <w:lang w:val="en-US" w:eastAsia="zh-Hans" w:bidi="ar-SA"/>
              </w:rPr>
              <w:t>至2024年5月20日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“金鹿理财-普惠季享”13号开放式净值型银行理财计划风险揭示书》、《温州银行“金鹿理财-普惠季享”13号开放式净值型银行理财计划产品说明书》、《温州银行“金鹿理财-普惠季享”13号开放式净值型（第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期88天）银行理财计划开放认购（申购）申请书》和《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eq4CY9aD/xX0F0/JTtJpMPzM8=" w:salt="OUEZtjQMovqpBUAg14i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EAE40E3"/>
    <w:rsid w:val="7F7EC3B3"/>
    <w:rsid w:val="BBDDF786"/>
    <w:rsid w:val="E7EC35E9"/>
    <w:rsid w:val="EAFE2858"/>
    <w:rsid w:val="EDAF6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