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普惠颐养”22008号开放式净值型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第2期733天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22008号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PY2208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3.65%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2024年2月23日至2024年2月29日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2024年3月1日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2025年3月5日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2026年2月25日</w:t>
            </w:r>
            <w:r>
              <w:rPr>
                <w:rFonts w:hint="eastAsia" w:ascii="宋体" w:hAnsi="宋体" w:eastAsia="宋体" w:cs="Times New Roman"/>
                <w:color w:val="000000"/>
                <w:kern w:val="0"/>
                <w:sz w:val="18"/>
                <w:szCs w:val="18"/>
                <w:u w:val="single"/>
                <w:lang w:val="en-US" w:eastAsia="zh-Hans" w:bidi="ar-SA"/>
              </w:rPr>
              <w:t>至2026年3月3日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2026年3月4日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22008号开放式净值型银行理财计划风险揭示书》、《温州银行“金鹿理财-普惠颐养”22008号开放式净值型银行理财计划产品说明书》、《温州银行“金鹿理财-普惠颐养”22008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期733天）银行理财计划开放认购（申购）申请书》和《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UzwF6Jl1WtCWewtH85U8MXZmUKM=" w:salt="Ov7TBCu72bS3G8C88pQQY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7C68581A"/>
    <w:rsid w:val="7EEB29B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3</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2024-02-08T06:58:05Z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