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3.25%-3.65%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2024年2月21日至2024年2月27日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2025年2月26日</w:t>
            </w:r>
            <w:r>
              <w:rPr>
                <w:rFonts w:hint="eastAsia" w:ascii="宋体" w:hAnsi="宋体" w:eastAsia="宋体" w:cs="Times New Roman"/>
                <w:color w:val="000000"/>
                <w:kern w:val="0"/>
                <w:sz w:val="18"/>
                <w:szCs w:val="18"/>
                <w:u w:val="single"/>
                <w:lang w:val="en-US" w:eastAsia="zh-Hans" w:bidi="ar-SA"/>
              </w:rPr>
              <w:t>至2025年3月4日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“金鹿理财-温盈”20009号开放式净值型银行理财计划风险揭示书》、《温州银行“金鹿理财-温盈”20009号开放式净值型银行理财计划产品说明书》、《温州银行“金鹿理财-温盈”20009号开放式净值型（第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gHx8jC9zzqzTQGG887kX4sFUx5k=" w:salt="skG9ya5PEwsQAtMnrOwB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62B597D"/>
    <w:rsid w:val="3BEF0754"/>
    <w:rsid w:val="511E88BC"/>
    <w:rsid w:val="7AF36A5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