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温盈”20019号开放式净值型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第9期182天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bookmarkStart w:id="0" w:name="_GoBack"/>
      <w:bookmarkEnd w:id="0"/>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20019号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9</w:t>
            </w:r>
            <w:r>
              <w:rPr>
                <w:rFonts w:hint="eastAsia" w:ascii="宋体" w:hAnsi="宋体" w:eastAsia="宋体" w:cs="宋体"/>
                <w:color w:val="000000"/>
                <w:kern w:val="0"/>
                <w:sz w:val="18"/>
                <w:szCs w:val="18"/>
                <w:lang w:val="en-US" w:eastAsia="zh-CN" w:bidi="ar-SA"/>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3.05%-3.45%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2024年2月21日至2024年2月27日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2024年2月28日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2024年8月21日</w:t>
            </w:r>
            <w:r>
              <w:rPr>
                <w:rFonts w:hint="eastAsia" w:ascii="宋体" w:hAnsi="宋体" w:eastAsia="宋体" w:cs="Times New Roman"/>
                <w:color w:val="000000"/>
                <w:kern w:val="0"/>
                <w:sz w:val="18"/>
                <w:szCs w:val="18"/>
                <w:u w:val="single"/>
                <w:lang w:val="en-US" w:eastAsia="zh-Hans" w:bidi="ar-SA"/>
              </w:rPr>
              <w:t>至2024年8月27日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2024年8月28日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“金鹿理财-温盈”20019号开放式净值型银行理财计划风险揭示书》、《温州银行“金鹿理财-温盈”20019号开放式净值型银行理财计划产品说明书》、《温州银行“金鹿理财-温盈”20019号开放式净值型（第</w:t>
            </w:r>
            <w:r>
              <w:rPr>
                <w:rFonts w:hint="eastAsia" w:ascii="宋体" w:hAnsi="宋体" w:eastAsia="宋体"/>
                <w:color w:val="000000"/>
                <w:sz w:val="18"/>
                <w:szCs w:val="20"/>
                <w:lang w:val="en-US" w:eastAsia="zh-Hans"/>
              </w:rPr>
              <w:t>9</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3aoS6FhGlGzWchST/PXsTGhvvCM=" w:salt="uqxNSupwfQO1nM7YLPOvj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F41247D"/>
    <w:rsid w:val="3BEF0754"/>
    <w:rsid w:val="511E88BC"/>
    <w:rsid w:val="7F7EC3B3"/>
    <w:rsid w:val="97BF3EA8"/>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4</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2024-02-08T06:58:00Z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