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温州银行“金鹿理财-臻享”</w:t>
      </w:r>
      <w:r>
        <w:rPr>
          <w:rFonts w:ascii="黑体" w:eastAsia="黑体"/>
          <w:color w:val="000000"/>
          <w:sz w:val="30"/>
          <w:szCs w:val="30"/>
          <w:u w:val="single"/>
        </w:rPr>
        <w:t>2400</w:t>
      </w:r>
      <w:r>
        <w:rPr>
          <w:rFonts w:hint="eastAsia" w:ascii="黑体" w:eastAsia="黑体"/>
          <w:color w:val="000000"/>
          <w:sz w:val="30"/>
          <w:szCs w:val="30"/>
          <w:u w:val="single"/>
          <w:lang w:val="en-US" w:eastAsia="zh-CN"/>
        </w:rPr>
        <w:t>4</w:t>
      </w:r>
      <w:r>
        <w:rPr>
          <w:rFonts w:hint="eastAsia" w:ascii="黑体" w:eastAsia="黑体"/>
          <w:sz w:val="30"/>
          <w:szCs w:val="30"/>
          <w:u w:val="single"/>
        </w:rPr>
        <w:t>号</w:t>
      </w: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臻享”</w:t>
      </w:r>
      <w:r>
        <w:rPr>
          <w:color w:val="000000"/>
          <w:szCs w:val="21"/>
          <w:u w:val="single"/>
        </w:rPr>
        <w:t>2400</w:t>
      </w:r>
      <w:r>
        <w:rPr>
          <w:rFonts w:hint="eastAsia"/>
          <w:color w:val="000000"/>
          <w:szCs w:val="21"/>
          <w:u w:val="single"/>
          <w:lang w:val="en-US" w:eastAsia="zh-CN"/>
        </w:rPr>
        <w:t>4</w:t>
      </w:r>
      <w:r>
        <w:rPr>
          <w:rFonts w:hint="eastAsia"/>
          <w:szCs w:val="21"/>
          <w:u w:val="single"/>
        </w:rPr>
        <w:t>号</w:t>
      </w:r>
      <w:r>
        <w:rPr>
          <w:rFonts w:hint="eastAsia"/>
          <w:szCs w:val="21"/>
        </w:rPr>
        <w:t>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color w:val="000000"/>
          <w:szCs w:val="21"/>
          <w:u w:val="single"/>
        </w:rPr>
        <w:t>601</w:t>
      </w:r>
      <w:r>
        <w:rPr>
          <w:rFonts w:hint="eastAsia"/>
          <w:szCs w:val="21"/>
          <w:u w:val="single"/>
        </w:rPr>
        <w:t xml:space="preserve"> </w:t>
      </w:r>
      <w:r>
        <w:rPr>
          <w:rFonts w:hint="eastAsia"/>
          <w:szCs w:val="21"/>
        </w:rPr>
        <w:t>天，本产品客户</w:t>
      </w:r>
      <w:r>
        <w:rPr>
          <w:rFonts w:hint="eastAsia"/>
          <w:szCs w:val="21"/>
          <w:u w:val="single"/>
        </w:rPr>
        <w:t>无提前</w:t>
      </w:r>
      <w:r>
        <w:rPr>
          <w:rFonts w:hint="eastAsia"/>
          <w:szCs w:val="21"/>
        </w:rPr>
        <w:t>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本理财产品适合客户：经温州银行评估为稳健型、平衡型、进取型、激进型的个人合格投资者。</w:t>
      </w:r>
      <w:r>
        <w:rPr>
          <w:rFonts w:hint="eastAsia" w:ascii="宋体" w:hAnsi="宋体"/>
          <w:b/>
          <w:bCs/>
          <w:szCs w:val="21"/>
        </w:rPr>
        <w:t>如影响您风险承受能力的因素发生变化，</w:t>
      </w:r>
      <w:bookmarkStart w:id="0" w:name="_GoBack"/>
      <w:bookmarkEnd w:id="0"/>
      <w:r>
        <w:rPr>
          <w:rFonts w:hint="eastAsia" w:ascii="宋体" w:hAnsi="宋体"/>
          <w:b/>
          <w:bCs/>
          <w:szCs w:val="21"/>
        </w:rPr>
        <w:t>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三、本风险揭示书及《温州银行“金鹿理财-普惠臻享”</w:t>
      </w:r>
      <w:r>
        <w:rPr>
          <w:rFonts w:hint="eastAsia"/>
          <w:color w:val="000000"/>
          <w:szCs w:val="21"/>
          <w:u w:val="single"/>
        </w:rPr>
        <w:t>2400</w:t>
      </w:r>
      <w:r>
        <w:rPr>
          <w:rFonts w:hint="eastAsia"/>
          <w:color w:val="000000"/>
          <w:szCs w:val="21"/>
          <w:u w:val="single"/>
          <w:lang w:val="en-US" w:eastAsia="zh-CN"/>
        </w:rPr>
        <w:t>4</w:t>
      </w:r>
      <w:r>
        <w:rPr>
          <w:rFonts w:hint="eastAsia"/>
          <w:color w:val="000000"/>
          <w:szCs w:val="21"/>
          <w:u w:val="single"/>
        </w:rPr>
        <w:t>号</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臻享”</w:t>
      </w:r>
      <w:r>
        <w:rPr>
          <w:rFonts w:ascii="宋体"/>
          <w:color w:val="000000"/>
          <w:szCs w:val="21"/>
          <w:u w:val="single"/>
        </w:rPr>
        <w:t>2400</w:t>
      </w:r>
      <w:r>
        <w:rPr>
          <w:rFonts w:hint="eastAsia" w:ascii="宋体"/>
          <w:color w:val="000000"/>
          <w:szCs w:val="21"/>
          <w:u w:val="single"/>
          <w:lang w:val="en-US" w:eastAsia="zh-CN"/>
        </w:rPr>
        <w:t>4</w:t>
      </w:r>
      <w:r>
        <w:rPr>
          <w:rFonts w:hint="eastAsia" w:ascii="宋体" w:hAnsi="宋体"/>
          <w:szCs w:val="21"/>
        </w:rPr>
        <w:t>号银行理财计划产品说明书》和《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rPr>
          <w:b/>
          <w:szCs w:val="21"/>
          <w:u w:val="single"/>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4"/>
        <w:adjustRightInd w:val="0"/>
        <w:snapToGrid w:val="0"/>
        <w:spacing w:before="0" w:beforeAutospacing="0" w:after="0" w:afterAutospacing="0" w:line="360" w:lineRule="auto"/>
        <w:jc w:val="center"/>
        <w:rPr>
          <w:rFonts w:ascii="黑体" w:eastAsia="黑体"/>
          <w:bCs/>
          <w:sz w:val="30"/>
          <w:szCs w:val="30"/>
          <w:u w:val="single"/>
        </w:rPr>
      </w:pPr>
      <w:r>
        <w:rPr>
          <w:rFonts w:hint="eastAsia" w:ascii="黑体" w:eastAsia="黑体"/>
          <w:bCs/>
          <w:sz w:val="30"/>
          <w:szCs w:val="30"/>
        </w:rPr>
        <w:t>温州银行“金鹿理财-臻享”</w:t>
      </w:r>
      <w:r>
        <w:rPr>
          <w:rFonts w:ascii="黑体" w:eastAsia="黑体"/>
          <w:bCs/>
          <w:color w:val="000000"/>
          <w:sz w:val="30"/>
          <w:szCs w:val="30"/>
          <w:u w:val="single"/>
        </w:rPr>
        <w:t>2400</w:t>
      </w:r>
      <w:r>
        <w:rPr>
          <w:rFonts w:hint="eastAsia" w:ascii="黑体" w:eastAsia="黑体"/>
          <w:bCs/>
          <w:color w:val="000000"/>
          <w:sz w:val="30"/>
          <w:szCs w:val="30"/>
          <w:u w:val="single"/>
          <w:lang w:val="en-US" w:eastAsia="zh-CN"/>
        </w:rPr>
        <w:t>4</w:t>
      </w:r>
      <w:r>
        <w:rPr>
          <w:rFonts w:hint="eastAsia" w:ascii="黑体" w:eastAsia="黑体"/>
          <w:bCs/>
          <w:sz w:val="30"/>
          <w:szCs w:val="30"/>
          <w:u w:val="single"/>
        </w:rPr>
        <w:t>号</w:t>
      </w:r>
    </w:p>
    <w:p>
      <w:pPr>
        <w:pStyle w:val="14"/>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本产品适合于合格投资者。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臻享”24004号</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110"/>
                <wp:effectExtent l="0" t="0" r="7620" b="8890"/>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235"/>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0"/>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29995"/>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2815"/>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5635"/>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8455"/>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275"/>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000"/>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pt;width:309.4pt;" coordsize="3929380,1896110" editas="canvas"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">
                <o:lock v:ext="edit" aspectratio="f"/>
                <v:shape id="画布 14" o:spid="_x0000_s1026" style="position:absolute;left:0;top:0;height:1896110;width:3929380;" filled="f" stroked="f" coordsize="21600,21600" o:gfxdata="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">
                  <v:fill on="f" focussize="0,0"/>
                  <v:stroke on="f"/>
                  <v:imagedata o:title=""/>
                  <o:lock v:ext="edit" aspectratio="t"/>
                </v:shape>
                <v:line id="直线 16" o:spid="_x0000_s1026" o:spt="20" style="position:absolute;left:161290;top:1626235;height:635;width:3463290;" filled="f" stroked="t" coordsize="21600,21600" o:gfxdata="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H2IcivWAAAABQEAAA8AAAAAAAAAAQAgAAAAIgAAAGRycy9kb3ducmV2LnhtbFBL&#10;AQIUABQAAAAIAIdO4kAepECz+AEAAO8DAAAOAAAAAAAAAAEAIAAAACUBAABkcnMvZTJvRG9jLnht&#10;bFBLBQYAAAAABgAGAFkBAACPBQAAAAA=&#10;">
                  <v:fill on="f" focussize="0,0"/>
                  <v:stroke color="#000000" joinstyle="round" endarrow="block"/>
                  <v:imagedata o:title=""/>
                  <o:lock v:ext="edit" aspectratio="f"/>
                </v:line>
                <v:line id="直线 17" o:spid="_x0000_s1026" o:spt="20" style="position:absolute;left:389890;top:0;flip:y;height:1863725;width:635;" filled="f" stroked="t" coordsize="21600,21600" o:gfxdata="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LXg53jWAAAABQEAAA8AAAAAAAAAAQAgAAAAIgAAAGRycy9kb3ducmV2Lnht&#10;bFBLAQIUABQAAAAIAIdO4kDearUX+wEAAPMDAAAOAAAAAAAAAAEAIAAAACUBAABkcnMvZTJvRG9j&#10;LnhtbFBLBQYAAAAABgAGAFkBAACSBQAAAAA=&#10;">
                  <v:fill on="f" focussize="0,0"/>
                  <v:stroke color="#000000" joinstyle="round" endarrow="block"/>
                  <v:imagedata o:title=""/>
                  <o:lock v:ext="edit" aspectratio="f"/>
                </v:line>
                <v:rect id="矩形 18" o:spid="_x0000_s1026" o:spt="1" style="position:absolute;left:503555;top:1229995;height:297180;width:5099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CVKqitGwIAAFA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2815;height:297180;width:513080;" fillcolor="#FFFF00" filled="t" stroked="t" coordsize="21600,21600" o:gfxdata="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Gds7t1gAAAAUB&#10;AAAPAAAAAAAAAAEAIAAAACIAAABkcnMvZG93bnJldi54bWxQSwECFAAUAAAACACHTuJAcqCm/B0C&#10;AABQBAAADgAAAAAAAAABACAAAAAl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5635;height:297180;width:517525;" filled="f" stroked="t" coordsize="21600,21600" o:gfxdata="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GyKfEfUAAAABQEAAA8AAAAAAAAAAQAg&#10;AAAAIgAAAGRycy9kb3ducmV2LnhtbFBLAQIUABQAAAAIAIdO4kCkn9EcEgIAACcEAAAOAAAAAAAA&#10;AAEAIAAAACMBAABkcnMvZTJvRG9jLnhtbFBLBQYAAAAABgAGAFkBAACnBQ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8455;height:297180;width:52260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A1mPXh1AAAAAUB&#10;AAAPAAAAAAAAAAEAIAAAACIAAABkcnMvZG93bnJldi54bWxQSwECFAAUAAAACACHTuJATwO7Ux8C&#10;AABQBAAADgAAAAAAAAABACAAAAAjAQAAZHJzL2Uyb0RvYy54bWxQSwUGAAAAAAYABgBZAQAAtAUA&#10;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275;height:297180;width:534035;" fillcolor="#FFFFFF" filled="t" stroked="t" coordsize="21600,21600" o:gfxdata="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WY9eHUAAAABQEAAA8A&#10;AAAAAAAAAQAgAAAAIgAAAGRycy9kb3ducmV2LnhtbFBLAQIUABQAAAAIAIdO4kDXMRCUGwIAAE8E&#10;AAAOAAAAAAAAAAEAIAAAACM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000;height:245110;width:1624330;" fillcolor="#FFFFFF" filled="t" stroked="f" coordsize="21600,21600" o:gfxdata="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YTq/1AAAAAUBAAAPAAAAAAAAAAEAIAAAACIAAABk&#10;cnMvZG93bnJldi54bWxQSwECFAAUAAAACACHTuJAEUbPvNEBAACTAwAADgAAAAAAAAABACAAAAAj&#10;AQAAZHJzL2Uyb0RvYy54bWxQSwUGAAAAAAYABgBZAQAAZg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臻享</w:t>
            </w:r>
            <w:r>
              <w:rPr>
                <w:sz w:val="18"/>
                <w:szCs w:val="18"/>
              </w:rPr>
              <w:t>”</w:t>
            </w:r>
            <w:r>
              <w:rPr>
                <w:color w:val="000000"/>
                <w:sz w:val="18"/>
                <w:szCs w:val="18"/>
                <w:u w:val="single"/>
              </w:rPr>
              <w:t>2400</w:t>
            </w:r>
            <w:r>
              <w:rPr>
                <w:rFonts w:hint="eastAsia"/>
                <w:color w:val="000000"/>
                <w:sz w:val="18"/>
                <w:szCs w:val="18"/>
                <w:u w:val="single"/>
                <w:lang w:val="en-US" w:eastAsia="zh-CN"/>
              </w:rPr>
              <w:t>4</w:t>
            </w:r>
            <w:r>
              <w:rPr>
                <w:sz w:val="18"/>
                <w:szCs w:val="18"/>
                <w:u w:val="single"/>
              </w:rPr>
              <w:t>号</w:t>
            </w:r>
            <w:r>
              <w:rPr>
                <w:rFonts w:hint="eastAsia"/>
                <w:sz w:val="18"/>
                <w:szCs w:val="18"/>
              </w:rPr>
              <w:t>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eastAsia="zh-CN"/>
              </w:rPr>
            </w:pPr>
            <w:r>
              <w:rPr>
                <w:rFonts w:hint="eastAsia"/>
                <w:color w:val="000000"/>
                <w:sz w:val="18"/>
                <w:szCs w:val="18"/>
              </w:rPr>
              <w:t>Z2400</w:t>
            </w:r>
            <w:r>
              <w:rPr>
                <w:rFonts w:hint="eastAsia"/>
                <w:color w:val="000000"/>
                <w:sz w:val="18"/>
                <w:szCs w:val="18"/>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18"/>
                <w:lang w:eastAsia="zh-Hans"/>
              </w:rPr>
            </w:pPr>
            <w:r>
              <w:rPr>
                <w:rFonts w:hint="eastAsia"/>
                <w:color w:val="000000"/>
                <w:sz w:val="18"/>
                <w:szCs w:val="18"/>
                <w:lang w:eastAsia="zh-Hans"/>
              </w:rPr>
              <w:t>C1092224A000004</w:t>
            </w:r>
            <w:r>
              <w:rPr>
                <w:color w:val="000000"/>
                <w:sz w:val="18"/>
                <w:szCs w:val="18"/>
                <w:lang w:eastAsia="zh-Hans"/>
              </w:rPr>
              <w:t xml:space="preserve"> </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经温州银行风险承受能力评估为稳健型、平衡型、进取型、激进型的个人合格投资者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私募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u w:val="single"/>
              </w:rPr>
              <w:t>601</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rFonts w:hint="eastAsia"/>
                <w:color w:val="000000"/>
                <w:sz w:val="18"/>
                <w:u w:val="single"/>
              </w:rPr>
              <w:t>2024年</w:t>
            </w:r>
            <w:r>
              <w:rPr>
                <w:rFonts w:hint="eastAsia"/>
                <w:color w:val="000000"/>
                <w:sz w:val="18"/>
                <w:u w:val="single"/>
                <w:lang w:val="en-US" w:eastAsia="zh-CN"/>
              </w:rPr>
              <w:t>3</w:t>
            </w:r>
            <w:r>
              <w:rPr>
                <w:rFonts w:hint="eastAsia"/>
                <w:color w:val="000000"/>
                <w:sz w:val="18"/>
                <w:u w:val="single"/>
              </w:rPr>
              <w:t>月</w:t>
            </w:r>
            <w:r>
              <w:rPr>
                <w:rFonts w:hint="eastAsia"/>
                <w:color w:val="000000"/>
                <w:sz w:val="18"/>
                <w:u w:val="single"/>
                <w:lang w:val="en-US" w:eastAsia="zh-CN"/>
              </w:rPr>
              <w:t>6</w:t>
            </w:r>
            <w:r>
              <w:rPr>
                <w:rFonts w:hint="eastAsia"/>
                <w:color w:val="000000"/>
                <w:sz w:val="18"/>
                <w:u w:val="single"/>
              </w:rPr>
              <w:t>日至</w:t>
            </w:r>
            <w:r>
              <w:rPr>
                <w:color w:val="000000"/>
                <w:sz w:val="18"/>
                <w:u w:val="single"/>
              </w:rPr>
              <w:t>2024年</w:t>
            </w:r>
            <w:r>
              <w:rPr>
                <w:rFonts w:hint="eastAsia"/>
                <w:color w:val="000000"/>
                <w:sz w:val="18"/>
                <w:u w:val="single"/>
                <w:lang w:val="en-US" w:eastAsia="zh-CN"/>
              </w:rPr>
              <w:t>3</w:t>
            </w:r>
            <w:r>
              <w:rPr>
                <w:color w:val="000000"/>
                <w:sz w:val="18"/>
                <w:u w:val="single"/>
              </w:rPr>
              <w:t>月</w:t>
            </w:r>
            <w:r>
              <w:rPr>
                <w:rFonts w:hint="eastAsia"/>
                <w:color w:val="000000"/>
                <w:sz w:val="18"/>
                <w:u w:val="single"/>
                <w:lang w:val="en-US" w:eastAsia="zh-CN"/>
              </w:rPr>
              <w:t>12</w:t>
            </w:r>
            <w:r>
              <w:rPr>
                <w:color w:val="000000"/>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投资冷静期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2"/>
                <w:u w:val="single"/>
              </w:rPr>
            </w:pPr>
            <w:r>
              <w:rPr>
                <w:color w:val="000000"/>
                <w:sz w:val="18"/>
                <w:szCs w:val="22"/>
                <w:u w:val="single"/>
              </w:rPr>
              <w:t>认购期最后一天为冷静期</w:t>
            </w:r>
            <w:r>
              <w:rPr>
                <w:rFonts w:hint="eastAsia"/>
                <w:color w:val="000000"/>
                <w:sz w:val="18"/>
                <w:szCs w:val="22"/>
                <w:u w:val="single"/>
              </w:rPr>
              <w:t>，</w:t>
            </w:r>
            <w:r>
              <w:rPr>
                <w:color w:val="000000"/>
                <w:sz w:val="18"/>
                <w:szCs w:val="22"/>
                <w:u w:val="single"/>
              </w:rPr>
              <w:t>不可认购</w:t>
            </w:r>
            <w:r>
              <w:rPr>
                <w:rFonts w:hint="eastAsia"/>
                <w:color w:val="000000"/>
                <w:sz w:val="18"/>
                <w:szCs w:val="22"/>
                <w:u w:val="single"/>
              </w:rPr>
              <w:t>，</w:t>
            </w:r>
            <w:r>
              <w:rPr>
                <w:color w:val="000000"/>
                <w:sz w:val="18"/>
                <w:szCs w:val="22"/>
                <w:u w:val="single"/>
              </w:rPr>
              <w:t>可撤单</w:t>
            </w:r>
            <w:r>
              <w:rPr>
                <w:rFonts w:hint="eastAsia"/>
                <w:color w:val="000000"/>
                <w:sz w:val="18"/>
                <w:szCs w:val="22"/>
                <w:u w:val="single"/>
              </w:rPr>
              <w:t>。</w:t>
            </w:r>
            <w:r>
              <w:rPr>
                <w:color w:val="000000"/>
                <w:sz w:val="18"/>
                <w:szCs w:val="22"/>
                <w:u w:val="single"/>
              </w:rPr>
              <w:t>投资者在认购期首日</w:t>
            </w:r>
            <w:r>
              <w:rPr>
                <w:rFonts w:hint="eastAsia"/>
                <w:color w:val="000000"/>
                <w:sz w:val="18"/>
                <w:szCs w:val="22"/>
                <w:u w:val="single"/>
              </w:rPr>
              <w:t>9:0</w:t>
            </w:r>
            <w:r>
              <w:rPr>
                <w:color w:val="000000"/>
                <w:sz w:val="18"/>
                <w:szCs w:val="22"/>
                <w:u w:val="single"/>
              </w:rPr>
              <w:t>0至产品成立前一日</w:t>
            </w:r>
            <w:r>
              <w:rPr>
                <w:rFonts w:hint="eastAsia"/>
                <w:color w:val="000000"/>
                <w:sz w:val="18"/>
                <w:szCs w:val="22"/>
                <w:u w:val="single"/>
              </w:rPr>
              <w:t>1</w:t>
            </w:r>
            <w:r>
              <w:rPr>
                <w:color w:val="000000"/>
                <w:sz w:val="18"/>
                <w:szCs w:val="22"/>
                <w:u w:val="single"/>
              </w:rPr>
              <w:t>7</w:t>
            </w:r>
            <w:r>
              <w:rPr>
                <w:rFonts w:hint="eastAsia"/>
                <w:color w:val="000000"/>
                <w:sz w:val="18"/>
                <w:szCs w:val="22"/>
                <w:u w:val="single"/>
              </w:rPr>
              <w:t>:00之前均可申请撤单。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u w:val="single"/>
              </w:rPr>
              <w:t>2024年</w:t>
            </w:r>
            <w:r>
              <w:rPr>
                <w:rFonts w:hint="eastAsia"/>
                <w:color w:val="000000"/>
                <w:sz w:val="18"/>
                <w:u w:val="single"/>
                <w:lang w:val="en-US" w:eastAsia="zh-CN"/>
              </w:rPr>
              <w:t>3</w:t>
            </w:r>
            <w:r>
              <w:rPr>
                <w:color w:val="000000"/>
                <w:sz w:val="18"/>
                <w:u w:val="single"/>
              </w:rPr>
              <w:t>月</w:t>
            </w:r>
            <w:r>
              <w:rPr>
                <w:rFonts w:hint="eastAsia"/>
                <w:color w:val="000000"/>
                <w:sz w:val="18"/>
                <w:u w:val="single"/>
                <w:lang w:val="en-US" w:eastAsia="zh-CN"/>
              </w:rPr>
              <w:t>13</w:t>
            </w:r>
            <w:r>
              <w:rPr>
                <w:color w:val="000000"/>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color w:val="000000"/>
                <w:sz w:val="18"/>
                <w:szCs w:val="24"/>
                <w:u w:val="single"/>
              </w:rPr>
            </w:pPr>
            <w:r>
              <w:rPr>
                <w:color w:val="000000"/>
                <w:sz w:val="18"/>
                <w:u w:val="single"/>
              </w:rPr>
              <w:t>2025年</w:t>
            </w:r>
            <w:r>
              <w:rPr>
                <w:rFonts w:hint="eastAsia"/>
                <w:color w:val="000000"/>
                <w:sz w:val="18"/>
                <w:u w:val="single"/>
                <w:lang w:val="en-US" w:eastAsia="zh-CN"/>
              </w:rPr>
              <w:t>11</w:t>
            </w:r>
            <w:r>
              <w:rPr>
                <w:color w:val="000000"/>
                <w:sz w:val="18"/>
                <w:u w:val="single"/>
              </w:rPr>
              <w:t>月</w:t>
            </w:r>
            <w:r>
              <w:rPr>
                <w:rFonts w:hint="eastAsia"/>
                <w:color w:val="000000"/>
                <w:sz w:val="18"/>
                <w:u w:val="single"/>
                <w:lang w:val="en-US" w:eastAsia="zh-CN"/>
              </w:rPr>
              <w:t>4</w:t>
            </w:r>
            <w:r>
              <w:rPr>
                <w:color w:val="000000"/>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rPr>
              <w:t>3.6</w:t>
            </w:r>
            <w:r>
              <w:rPr>
                <w:rFonts w:hint="eastAsia"/>
                <w:color w:val="000000"/>
                <w:sz w:val="18"/>
                <w:lang w:val="en-US" w:eastAsia="zh-CN"/>
              </w:rPr>
              <w:t>0</w:t>
            </w:r>
            <w:r>
              <w:rPr>
                <w:color w:val="000000"/>
                <w:sz w:val="18"/>
              </w:rPr>
              <w:t>%</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认购金额4</w:t>
            </w:r>
            <w:r>
              <w:rPr>
                <w:sz w:val="18"/>
                <w:szCs w:val="18"/>
              </w:rPr>
              <w:t>0</w:t>
            </w:r>
            <w:r>
              <w:rPr>
                <w:rFonts w:hint="eastAsia"/>
                <w:sz w:val="18"/>
                <w:szCs w:val="18"/>
              </w:rPr>
              <w:t>万元起，以</w:t>
            </w:r>
            <w:r>
              <w:rPr>
                <w:sz w:val="18"/>
                <w:szCs w:val="18"/>
              </w:rPr>
              <w:t>1</w:t>
            </w:r>
            <w:r>
              <w:rPr>
                <w:rFonts w:hint="eastAsia"/>
                <w:sz w:val="18"/>
                <w:szCs w:val="18"/>
              </w:rPr>
              <w:t>000元的整数倍追加；认购份额</w:t>
            </w:r>
            <w:r>
              <w:rPr>
                <w:sz w:val="18"/>
                <w:szCs w:val="18"/>
              </w:rPr>
              <w:t>=</w:t>
            </w:r>
            <w:r>
              <w:rPr>
                <w:rFonts w:hint="eastAsia"/>
                <w:sz w:val="18"/>
                <w:szCs w:val="18"/>
              </w:rPr>
              <w:t>认购金额</w:t>
            </w:r>
            <w:r>
              <w:rPr>
                <w:sz w:val="18"/>
                <w:szCs w:val="18"/>
              </w:rPr>
              <w:t>/1</w:t>
            </w:r>
            <w:r>
              <w:rPr>
                <w:rFonts w:hint="eastAsia"/>
                <w:sz w:val="18"/>
                <w:szCs w:val="18"/>
              </w:rPr>
              <w:t>元。认购份额保留至</w:t>
            </w:r>
            <w:r>
              <w:rPr>
                <w:sz w:val="18"/>
                <w:szCs w:val="18"/>
              </w:rPr>
              <w:t>0.01</w:t>
            </w:r>
            <w:r>
              <w:rPr>
                <w:rFonts w:hint="eastAsia"/>
                <w:sz w:val="18"/>
                <w:szCs w:val="18"/>
              </w:rPr>
              <w:t>份理财产品份额，小数点后两位以下四舍五入。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温州银行将至少按季度在温州银行官方网站或电子银行等信息平台披露产品资产净值、份额净值和其他重要信息。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Cs w:val="21"/>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本产品的收益主要来源于理财资金所投资资产的投资回报。投资者按其认购金额占该理财产品项下所有认购资金的比例，承担相应比例的收益和风险。</w:t>
      </w:r>
    </w:p>
    <w:p>
      <w:pPr>
        <w:numPr>
          <w:ilvl w:val="0"/>
          <w:numId w:val="1"/>
        </w:numPr>
        <w:adjustRightInd w:val="0"/>
        <w:snapToGrid w:val="0"/>
        <w:spacing w:line="288" w:lineRule="auto"/>
        <w:rPr>
          <w:sz w:val="18"/>
          <w:szCs w:val="18"/>
        </w:rPr>
      </w:pP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89"/>
        <w:gridCol w:w="5408"/>
        <w:gridCol w:w="1703"/>
      </w:tblGrid>
      <w:tr>
        <w:tblPrEx>
          <w:tblCellMar>
            <w:top w:w="0" w:type="dxa"/>
            <w:left w:w="108" w:type="dxa"/>
            <w:bottom w:w="0" w:type="dxa"/>
            <w:right w:w="108" w:type="dxa"/>
          </w:tblCellMar>
        </w:tblPrEx>
        <w:trPr>
          <w:trHeight w:val="270" w:hRule="atLeast"/>
          <w:jc w:val="center"/>
        </w:trPr>
        <w:tc>
          <w:tcPr>
            <w:tcW w:w="228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0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8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存款、大额存单、同业存单、债券回购、货币市场工具、债券等债权类资产</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信托计划、理财直融工具等非标准化债权资产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8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0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本理财产品建仓期为自本产品成立日起的六个自然月，温州银行应当自本产品成立日起六个月内使理财计划的投资组合比例符合上述约定。理财产品投资退出期为自理财预计到期日前三个自然月至理财产品终止日，期间各投资品种配置比例可能超出或不足计划的配置比例区间。</w:t>
      </w:r>
    </w:p>
    <w:p>
      <w:pPr>
        <w:adjustRightInd w:val="0"/>
        <w:snapToGrid w:val="0"/>
        <w:spacing w:line="286" w:lineRule="auto"/>
        <w:rPr>
          <w:sz w:val="18"/>
          <w:szCs w:val="18"/>
        </w:rPr>
      </w:pPr>
      <w:r>
        <w:rPr>
          <w:rFonts w:hint="eastAsia"/>
          <w:sz w:val="18"/>
          <w:szCs w:val="18"/>
        </w:rPr>
        <w:t>除上述情形外，非因温州银行主观因素导致突破前述比例限制的，为保护投资者利益，温州银行将在流动性受限资产可出售、可转让或者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b/>
          <w:sz w:val="18"/>
          <w:szCs w:val="18"/>
        </w:rPr>
      </w:pPr>
      <w:r>
        <w:rPr>
          <w:rFonts w:hint="eastAsia"/>
          <w:sz w:val="18"/>
          <w:szCs w:val="18"/>
        </w:rPr>
        <w:t>本产品采用安全性和流动性优先、追求适度收益的投资策略。主要投资于固定收益类资产，并适当配置一定比例的权益资产，追求组合风险收益最大化。本产品将在控制产品收益波动幅度的前提下，为投资者做好大类资产配置，力争获取达到或超过业绩比较基准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1" w:lineRule="auto"/>
        <w:rPr>
          <w:b/>
          <w:sz w:val="18"/>
          <w:szCs w:val="18"/>
        </w:rPr>
      </w:pPr>
      <w:r>
        <w:rPr>
          <w:rFonts w:hint="eastAsia"/>
          <w:b/>
          <w:sz w:val="18"/>
          <w:szCs w:val="18"/>
        </w:rPr>
        <w:t>合格投资者</w:t>
      </w:r>
    </w:p>
    <w:p>
      <w:pPr>
        <w:adjustRightInd w:val="0"/>
        <w:snapToGrid w:val="0"/>
        <w:spacing w:line="281" w:lineRule="auto"/>
        <w:rPr>
          <w:sz w:val="18"/>
          <w:szCs w:val="18"/>
        </w:rPr>
      </w:pPr>
      <w:r>
        <w:rPr>
          <w:rFonts w:hint="eastAsia"/>
          <w:sz w:val="18"/>
          <w:szCs w:val="18"/>
        </w:rPr>
        <w:t>本产品对应合格投资者指具备相应风险识别能力和风险承担能力，同时满足下列条件的：</w:t>
      </w:r>
    </w:p>
    <w:p>
      <w:pPr>
        <w:adjustRightInd w:val="0"/>
        <w:snapToGrid w:val="0"/>
        <w:spacing w:line="281" w:lineRule="auto"/>
        <w:rPr>
          <w:sz w:val="18"/>
          <w:szCs w:val="18"/>
        </w:rPr>
      </w:pPr>
      <w:r>
        <w:rPr>
          <w:rFonts w:hint="eastAsia"/>
          <w:sz w:val="18"/>
          <w:szCs w:val="18"/>
        </w:rPr>
        <w:t>1、具有2年以上投资经历，且满足下列条件之一的自然人：家庭金融净资产不低于300万元人民币，或者家庭金融资产不低于500万元人民币，或者近3年本人年均收入不低于40万元人民币；</w:t>
      </w:r>
    </w:p>
    <w:p>
      <w:pPr>
        <w:adjustRightInd w:val="0"/>
        <w:snapToGrid w:val="0"/>
        <w:spacing w:line="281" w:lineRule="auto"/>
        <w:rPr>
          <w:sz w:val="18"/>
          <w:szCs w:val="18"/>
        </w:rPr>
      </w:pPr>
      <w:r>
        <w:rPr>
          <w:rFonts w:hint="eastAsia"/>
          <w:sz w:val="18"/>
          <w:szCs w:val="18"/>
        </w:rPr>
        <w:t>2、金融监督管理部门视为合格投资者的其他情形。</w:t>
      </w:r>
    </w:p>
    <w:p>
      <w:pPr>
        <w:adjustRightInd w:val="0"/>
        <w:snapToGrid w:val="0"/>
        <w:spacing w:line="281" w:lineRule="auto"/>
        <w:rPr>
          <w:sz w:val="18"/>
          <w:szCs w:val="18"/>
        </w:rPr>
      </w:pPr>
      <w:r>
        <w:rPr>
          <w:rFonts w:hint="eastAsia"/>
          <w:sz w:val="18"/>
          <w:szCs w:val="18"/>
        </w:rPr>
        <w:t>注：温州银行有权根据监管政策对合格投资者的定义进行准入条件调整，若有调整，温州银行将就相关调整事宜在调整前一个工作日在温州银行网站予以公告。</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3" w:lineRule="auto"/>
        <w:rPr>
          <w:sz w:val="18"/>
          <w:szCs w:val="18"/>
        </w:rPr>
      </w:pPr>
      <w:r>
        <w:rPr>
          <w:rFonts w:hint="eastAsia" w:ascii="宋体" w:hAnsi="宋体"/>
          <w:b/>
          <w:bCs/>
          <w:sz w:val="18"/>
          <w:szCs w:val="18"/>
        </w:rPr>
        <w:t>投资合作机构</w:t>
      </w:r>
    </w:p>
    <w:p>
      <w:pPr>
        <w:rPr>
          <w:szCs w:val="21"/>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本理财产品估值日为每个证券交易所的交易日，投资管理人和理财托管人至少每季度核对估值结果并向投资人披露。（如遇非工作日顺延至下一工作日，具体日期以温州银行公告为准）。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3"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color w:val="000000"/>
          <w:sz w:val="18"/>
          <w:lang w:eastAsia="zh-CN"/>
        </w:rPr>
        <w:t>3.60%</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color w:val="000000"/>
          <w:sz w:val="18"/>
        </w:rPr>
        <w:t>2025年</w:t>
      </w:r>
      <w:r>
        <w:rPr>
          <w:rFonts w:hint="eastAsia"/>
          <w:color w:val="000000"/>
          <w:sz w:val="18"/>
          <w:lang w:val="en-US" w:eastAsia="zh-CN"/>
        </w:rPr>
        <w:t>11</w:t>
      </w:r>
      <w:r>
        <w:rPr>
          <w:color w:val="000000"/>
          <w:sz w:val="18"/>
        </w:rPr>
        <w:t>月</w:t>
      </w:r>
      <w:r>
        <w:rPr>
          <w:rFonts w:hint="eastAsia"/>
          <w:color w:val="000000"/>
          <w:sz w:val="18"/>
          <w:lang w:val="en-US" w:eastAsia="zh-CN"/>
        </w:rPr>
        <w:t>4</w:t>
      </w:r>
      <w:r>
        <w:rPr>
          <w:color w:val="000000"/>
          <w:sz w:val="18"/>
        </w:rPr>
        <w:t>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bCs/>
          <w:sz w:val="18"/>
          <w:szCs w:val="18"/>
        </w:rPr>
      </w:pPr>
      <w:r>
        <w:rPr>
          <w:rFonts w:hint="eastAsia"/>
          <w:b/>
          <w:bCs/>
          <w:sz w:val="18"/>
          <w:szCs w:val="18"/>
        </w:rPr>
        <w:t>（2）计算示例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3.60%</w:t>
      </w:r>
      <w:r>
        <w:rPr>
          <w:rFonts w:hint="eastAsia"/>
          <w:sz w:val="18"/>
          <w:szCs w:val="18"/>
        </w:rPr>
        <w:t>。到期时扣除托管费、销售服务费、固定管理费及其他费用（如有）后，如产品净值为1.07，此时，(1.07/1.00-1)×365/601=4.25%&gt;</w:t>
      </w:r>
      <w:r>
        <w:rPr>
          <w:rFonts w:hint="eastAsia"/>
          <w:sz w:val="18"/>
          <w:szCs w:val="18"/>
          <w:lang w:eastAsia="zh-CN"/>
        </w:rPr>
        <w:t>3.60%</w:t>
      </w:r>
      <w:r>
        <w:rPr>
          <w:rFonts w:hint="eastAsia"/>
          <w:sz w:val="18"/>
          <w:szCs w:val="18"/>
        </w:rPr>
        <w:t>，即投资收益超越业绩比较基准，则投资管理人对超过业绩比较基准部分收益收取浮动管理费，浮动管理费为：1,000,000.00×[1.07-1.00×(1+</w:t>
      </w:r>
      <w:r>
        <w:rPr>
          <w:rFonts w:hint="eastAsia"/>
          <w:sz w:val="18"/>
          <w:szCs w:val="18"/>
          <w:lang w:eastAsia="zh-CN"/>
        </w:rPr>
        <w:t>3.60%</w:t>
      </w:r>
      <w:r>
        <w:rPr>
          <w:rFonts w:hint="eastAsia"/>
          <w:sz w:val="18"/>
          <w:szCs w:val="18"/>
        </w:rPr>
        <w:t>×601/365)]×80%=</w:t>
      </w:r>
      <w:r>
        <w:rPr>
          <w:rFonts w:hint="eastAsia"/>
          <w:sz w:val="18"/>
          <w:szCs w:val="18"/>
          <w:lang w:val="en-US" w:eastAsia="zh-CN"/>
        </w:rPr>
        <w:t>8578.63</w:t>
      </w:r>
      <w:r>
        <w:rPr>
          <w:rFonts w:hint="eastAsia"/>
          <w:sz w:val="18"/>
          <w:szCs w:val="18"/>
        </w:rPr>
        <w:t>（元）。扣除浮动管理费后，客户最终收益为：1,000,000.00×（1.07-1.00）-</w:t>
      </w:r>
      <w:r>
        <w:rPr>
          <w:rFonts w:hint="eastAsia"/>
          <w:sz w:val="18"/>
          <w:szCs w:val="18"/>
          <w:lang w:val="en-US" w:eastAsia="zh-CN"/>
        </w:rPr>
        <w:t>8578.63</w:t>
      </w:r>
      <w:r>
        <w:rPr>
          <w:rFonts w:hint="eastAsia"/>
          <w:sz w:val="18"/>
          <w:szCs w:val="18"/>
        </w:rPr>
        <w:t>=</w:t>
      </w:r>
      <w:r>
        <w:rPr>
          <w:rFonts w:hint="eastAsia"/>
          <w:sz w:val="18"/>
          <w:szCs w:val="18"/>
          <w:lang w:val="en-US" w:eastAsia="zh-CN"/>
        </w:rPr>
        <w:t>61421.36</w:t>
      </w:r>
      <w:r>
        <w:rPr>
          <w:rFonts w:hint="eastAsia"/>
          <w:sz w:val="18"/>
          <w:szCs w:val="18"/>
        </w:rPr>
        <w:t>（元），产品到期时，客户获得的实际收益相当于达到年化收益率水平为：</w:t>
      </w:r>
      <w:r>
        <w:rPr>
          <w:rFonts w:hint="eastAsia"/>
          <w:sz w:val="18"/>
          <w:szCs w:val="18"/>
          <w:lang w:val="en-US" w:eastAsia="zh-CN"/>
        </w:rPr>
        <w:t>61421.36</w:t>
      </w:r>
      <w:r>
        <w:rPr>
          <w:rFonts w:hint="eastAsia"/>
          <w:sz w:val="18"/>
          <w:szCs w:val="18"/>
        </w:rPr>
        <w:t>/1,000,000.00×365/601=3.7</w:t>
      </w:r>
      <w:r>
        <w:rPr>
          <w:rFonts w:hint="eastAsia"/>
          <w:sz w:val="18"/>
          <w:szCs w:val="18"/>
          <w:lang w:val="en-US" w:eastAsia="zh-CN"/>
        </w:rPr>
        <w:t>3</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3.60%</w:t>
      </w:r>
      <w:r>
        <w:rPr>
          <w:rFonts w:hint="eastAsia"/>
          <w:sz w:val="18"/>
          <w:szCs w:val="18"/>
        </w:rPr>
        <w:t>。到期时扣除托管费、销售服务费、固定管理费及其他费用（如有）后，如产品净值为1.0</w:t>
      </w:r>
      <w:r>
        <w:rPr>
          <w:rFonts w:hint="eastAsia"/>
          <w:sz w:val="18"/>
          <w:szCs w:val="18"/>
          <w:lang w:val="en-US" w:eastAsia="zh-CN"/>
        </w:rPr>
        <w:t>5</w:t>
      </w:r>
      <w:r>
        <w:rPr>
          <w:rFonts w:hint="eastAsia"/>
          <w:sz w:val="18"/>
          <w:szCs w:val="18"/>
        </w:rPr>
        <w:t>，此时，(1.06/1.00-1)×365/601=3.</w:t>
      </w:r>
      <w:r>
        <w:rPr>
          <w:rFonts w:hint="eastAsia"/>
          <w:sz w:val="18"/>
          <w:szCs w:val="18"/>
          <w:lang w:val="en-US" w:eastAsia="zh-CN"/>
        </w:rPr>
        <w:t>0</w:t>
      </w:r>
      <w:r>
        <w:rPr>
          <w:rFonts w:hint="eastAsia"/>
          <w:sz w:val="18"/>
          <w:szCs w:val="18"/>
        </w:rPr>
        <w:t>4%&lt;</w:t>
      </w:r>
      <w:r>
        <w:rPr>
          <w:rFonts w:hint="eastAsia"/>
          <w:sz w:val="18"/>
          <w:szCs w:val="18"/>
          <w:lang w:eastAsia="zh-CN"/>
        </w:rPr>
        <w:t>3.60%</w:t>
      </w:r>
      <w:r>
        <w:rPr>
          <w:rFonts w:hint="eastAsia"/>
          <w:sz w:val="18"/>
          <w:szCs w:val="18"/>
        </w:rPr>
        <w:t>，即投资收益未达到业绩比较基准，则投资管理人不收取浮动管理费，客户最终收益为：1,000,000.00×(1.0</w:t>
      </w:r>
      <w:r>
        <w:rPr>
          <w:rFonts w:hint="eastAsia"/>
          <w:sz w:val="18"/>
          <w:szCs w:val="18"/>
          <w:lang w:val="en-US" w:eastAsia="zh-CN"/>
        </w:rPr>
        <w:t>5</w:t>
      </w:r>
      <w:r>
        <w:rPr>
          <w:rFonts w:hint="eastAsia"/>
          <w:sz w:val="18"/>
          <w:szCs w:val="18"/>
        </w:rPr>
        <w:t>-1.00）=</w:t>
      </w:r>
      <w:r>
        <w:rPr>
          <w:rFonts w:hint="eastAsia"/>
          <w:sz w:val="18"/>
          <w:szCs w:val="18"/>
          <w:lang w:val="en-US" w:eastAsia="zh-CN"/>
        </w:rPr>
        <w:t>5</w:t>
      </w:r>
      <w:r>
        <w:rPr>
          <w:rFonts w:hint="eastAsia"/>
          <w:sz w:val="18"/>
          <w:szCs w:val="18"/>
        </w:rPr>
        <w:t>0000.00（元）。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以某客户投资100万元为例，购买时产品净值为1.00元，折算份额为1,000,000.00份，理财期限为601天。假设产品业绩比较基准为</w:t>
      </w:r>
      <w:r>
        <w:rPr>
          <w:rFonts w:hint="eastAsia"/>
          <w:sz w:val="18"/>
          <w:szCs w:val="18"/>
          <w:lang w:eastAsia="zh-CN"/>
        </w:rPr>
        <w:t>3.60%</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兑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ascii="宋体" w:hAnsi="宋体"/>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至少每季度向合格投资者披露理财产品的资产净值、份额净值和其他重要信息。</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b/>
          <w:bCs/>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臻享”24004号</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D8C1A8"/>
    <w:multiLevelType w:val="singleLevel"/>
    <w:tmpl w:val="10D8C1A8"/>
    <w:lvl w:ilvl="0" w:tentative="0">
      <w:start w:val="1"/>
      <w:numFmt w:val="decimal"/>
      <w:lvlText w:val="%1."/>
      <w:lvlJc w:val="left"/>
      <w:pPr>
        <w:tabs>
          <w:tab w:val="left" w:pos="312"/>
        </w:tabs>
      </w:pPr>
    </w:lvl>
  </w:abstractNum>
  <w:abstractNum w:abstractNumId="1">
    <w:nsid w:val="5803C2AC"/>
    <w:multiLevelType w:val="singleLevel"/>
    <w:tmpl w:val="5803C2AC"/>
    <w:lvl w:ilvl="0" w:tentative="0">
      <w:start w:val="2"/>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1" w:cryptProviderType="rsaFull" w:cryptAlgorithmClass="hash" w:cryptAlgorithmType="typeAny" w:cryptAlgorithmSid="4" w:cryptSpinCount="0" w:hash="yaxjhvFDW7wCzGNHvZcaRnTPxic=" w:salt="F/eDI7jJIH3u59SCCB7VAQ=="/>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13AD7"/>
    <w:rsid w:val="0006060F"/>
    <w:rsid w:val="00063DCD"/>
    <w:rsid w:val="000B5991"/>
    <w:rsid w:val="000D5A76"/>
    <w:rsid w:val="001050EE"/>
    <w:rsid w:val="00193A19"/>
    <w:rsid w:val="00331EA4"/>
    <w:rsid w:val="00383077"/>
    <w:rsid w:val="003E7B94"/>
    <w:rsid w:val="00494670"/>
    <w:rsid w:val="0058461F"/>
    <w:rsid w:val="005E2789"/>
    <w:rsid w:val="00631B29"/>
    <w:rsid w:val="00662231"/>
    <w:rsid w:val="006A096F"/>
    <w:rsid w:val="006A4785"/>
    <w:rsid w:val="006F1E5D"/>
    <w:rsid w:val="00741D14"/>
    <w:rsid w:val="0078088F"/>
    <w:rsid w:val="007A7805"/>
    <w:rsid w:val="007D7630"/>
    <w:rsid w:val="008441F8"/>
    <w:rsid w:val="008C55E5"/>
    <w:rsid w:val="009115E2"/>
    <w:rsid w:val="00923B87"/>
    <w:rsid w:val="00924C98"/>
    <w:rsid w:val="00935A09"/>
    <w:rsid w:val="009D7D58"/>
    <w:rsid w:val="00A05C84"/>
    <w:rsid w:val="00AE4CB5"/>
    <w:rsid w:val="00B61087"/>
    <w:rsid w:val="00BA60A0"/>
    <w:rsid w:val="00C15915"/>
    <w:rsid w:val="00D10292"/>
    <w:rsid w:val="00D23828"/>
    <w:rsid w:val="00D71534"/>
    <w:rsid w:val="00E2610C"/>
    <w:rsid w:val="00E529E8"/>
    <w:rsid w:val="00F548A2"/>
    <w:rsid w:val="00F81FE4"/>
    <w:rsid w:val="00FE1D1B"/>
    <w:rsid w:val="00FF5DD6"/>
    <w:rsid w:val="020D5912"/>
    <w:rsid w:val="04523F21"/>
    <w:rsid w:val="060F0B1F"/>
    <w:rsid w:val="06794E05"/>
    <w:rsid w:val="08EF38EC"/>
    <w:rsid w:val="09B16F1F"/>
    <w:rsid w:val="0AC90772"/>
    <w:rsid w:val="0BCD4D32"/>
    <w:rsid w:val="0DA90DFA"/>
    <w:rsid w:val="0E1D1495"/>
    <w:rsid w:val="0ED95908"/>
    <w:rsid w:val="14DB549B"/>
    <w:rsid w:val="190C6A15"/>
    <w:rsid w:val="1BB60D30"/>
    <w:rsid w:val="1DD91150"/>
    <w:rsid w:val="1FEFB915"/>
    <w:rsid w:val="20DB6550"/>
    <w:rsid w:val="22A04815"/>
    <w:rsid w:val="23535C37"/>
    <w:rsid w:val="26087F47"/>
    <w:rsid w:val="26531D8B"/>
    <w:rsid w:val="26A745EE"/>
    <w:rsid w:val="275A751E"/>
    <w:rsid w:val="27697D3C"/>
    <w:rsid w:val="27EE5BCD"/>
    <w:rsid w:val="28DC3D9B"/>
    <w:rsid w:val="2AFF68BE"/>
    <w:rsid w:val="2D1D2B95"/>
    <w:rsid w:val="2D6F4CA6"/>
    <w:rsid w:val="2EB7637B"/>
    <w:rsid w:val="2F7E1AF7"/>
    <w:rsid w:val="2FE766C5"/>
    <w:rsid w:val="31025CB3"/>
    <w:rsid w:val="313A7139"/>
    <w:rsid w:val="31AC46DA"/>
    <w:rsid w:val="320C3990"/>
    <w:rsid w:val="34B74934"/>
    <w:rsid w:val="37B32A93"/>
    <w:rsid w:val="39766FF2"/>
    <w:rsid w:val="3ABF4707"/>
    <w:rsid w:val="3B46D2A4"/>
    <w:rsid w:val="3C5374EE"/>
    <w:rsid w:val="3D1B017D"/>
    <w:rsid w:val="3DAD3B7D"/>
    <w:rsid w:val="3F044FE7"/>
    <w:rsid w:val="3F1C7425"/>
    <w:rsid w:val="3FFF1548"/>
    <w:rsid w:val="4146226E"/>
    <w:rsid w:val="43712A5A"/>
    <w:rsid w:val="43B64733"/>
    <w:rsid w:val="4409550D"/>
    <w:rsid w:val="44456C0A"/>
    <w:rsid w:val="4B794A3C"/>
    <w:rsid w:val="4BC63B4A"/>
    <w:rsid w:val="4EFE40C2"/>
    <w:rsid w:val="50BC0EEB"/>
    <w:rsid w:val="51123BFB"/>
    <w:rsid w:val="546F0E0A"/>
    <w:rsid w:val="56AB5155"/>
    <w:rsid w:val="56AE78BD"/>
    <w:rsid w:val="58356C69"/>
    <w:rsid w:val="5D0B2C53"/>
    <w:rsid w:val="5DD76B10"/>
    <w:rsid w:val="5E53116C"/>
    <w:rsid w:val="5F4A6202"/>
    <w:rsid w:val="5FAF8ADF"/>
    <w:rsid w:val="608470BC"/>
    <w:rsid w:val="611808E0"/>
    <w:rsid w:val="61E21802"/>
    <w:rsid w:val="621362E3"/>
    <w:rsid w:val="621F1292"/>
    <w:rsid w:val="627B657A"/>
    <w:rsid w:val="636035E2"/>
    <w:rsid w:val="63DF9DEC"/>
    <w:rsid w:val="6A140818"/>
    <w:rsid w:val="6D15771F"/>
    <w:rsid w:val="6EFF375B"/>
    <w:rsid w:val="6F0FDD9B"/>
    <w:rsid w:val="793D346A"/>
    <w:rsid w:val="7D330C42"/>
    <w:rsid w:val="7DAEFF8C"/>
    <w:rsid w:val="7DCD8CE5"/>
    <w:rsid w:val="7E08254D"/>
    <w:rsid w:val="7EF0A27F"/>
    <w:rsid w:val="7FFFB1D6"/>
    <w:rsid w:val="B93A49A3"/>
    <w:rsid w:val="BB2A8372"/>
    <w:rsid w:val="BEB19B29"/>
    <w:rsid w:val="DFA323B7"/>
    <w:rsid w:val="DFE4B709"/>
    <w:rsid w:val="EF5F2DDB"/>
    <w:rsid w:val="F1EBD4A1"/>
    <w:rsid w:val="F5BBA72D"/>
    <w:rsid w:val="F5FFA0BF"/>
    <w:rsid w:val="F6EF9E8F"/>
    <w:rsid w:val="F7FB3357"/>
    <w:rsid w:val="FCFB4D9A"/>
    <w:rsid w:val="FF9F9463"/>
    <w:rsid w:val="FFB5E4B3"/>
    <w:rsid w:val="FFFBCA9F"/>
    <w:rsid w:val="FFFF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Plain Text"/>
    <w:basedOn w:val="1"/>
    <w:link w:val="11"/>
    <w:unhideWhenUsed/>
    <w:qFormat/>
    <w:uiPriority w:val="99"/>
    <w:rPr>
      <w:rFonts w:ascii="宋体" w:hAnsi="Courier New" w:cs="Courier New"/>
      <w:szCs w:val="21"/>
    </w:rPr>
  </w:style>
  <w:style w:type="paragraph" w:styleId="4">
    <w:name w:val="Balloon Text"/>
    <w:basedOn w:val="1"/>
    <w:link w:val="16"/>
    <w:semiHidden/>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styleId="10">
    <w:name w:val="annotation reference"/>
    <w:basedOn w:val="9"/>
    <w:semiHidden/>
    <w:unhideWhenUsed/>
    <w:uiPriority w:val="99"/>
    <w:rPr>
      <w:sz w:val="21"/>
      <w:szCs w:val="21"/>
    </w:rPr>
  </w:style>
  <w:style w:type="character" w:customStyle="1" w:styleId="11">
    <w:name w:val="纯文本 字符"/>
    <w:link w:val="3"/>
    <w:uiPriority w:val="99"/>
    <w:rPr>
      <w:rFonts w:ascii="宋体" w:hAnsi="Courier New" w:eastAsia="宋体" w:cs="Courier New"/>
      <w:szCs w:val="21"/>
    </w:rPr>
  </w:style>
  <w:style w:type="character" w:customStyle="1" w:styleId="12">
    <w:name w:val="页脚 字符"/>
    <w:link w:val="5"/>
    <w:qFormat/>
    <w:uiPriority w:val="99"/>
    <w:rPr>
      <w:rFonts w:ascii="Calibri" w:hAnsi="Calibri" w:eastAsia="宋体" w:cs="Times New Roman"/>
      <w:kern w:val="0"/>
      <w:sz w:val="18"/>
      <w:szCs w:val="18"/>
    </w:rPr>
  </w:style>
  <w:style w:type="character" w:customStyle="1" w:styleId="13">
    <w:name w:val="页眉 字符"/>
    <w:link w:val="6"/>
    <w:uiPriority w:val="99"/>
    <w:rPr>
      <w:kern w:val="2"/>
      <w:sz w:val="18"/>
      <w:szCs w:val="18"/>
    </w:rPr>
  </w:style>
  <w:style w:type="paragraph" w:customStyle="1" w:styleId="14">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styleId="15">
    <w:name w:val="List Paragraph"/>
    <w:basedOn w:val="1"/>
    <w:qFormat/>
    <w:uiPriority w:val="34"/>
    <w:pPr>
      <w:widowControl/>
      <w:ind w:firstLine="420"/>
    </w:pPr>
    <w:rPr>
      <w:rFonts w:cs="宋体"/>
      <w:kern w:val="0"/>
      <w:szCs w:val="21"/>
    </w:rPr>
  </w:style>
  <w:style w:type="character" w:customStyle="1" w:styleId="16">
    <w:name w:val="批注框文本 字符"/>
    <w:basedOn w:val="9"/>
    <w:link w:val="4"/>
    <w:semiHidden/>
    <w:qFormat/>
    <w:uiPriority w:val="99"/>
    <w:rPr>
      <w:kern w:val="2"/>
      <w:sz w:val="18"/>
      <w:szCs w:val="18"/>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9</Pages>
  <Words>2109</Words>
  <Characters>12022</Characters>
  <Lines>100</Lines>
  <Paragraphs>28</Paragraphs>
  <TotalTime>2</TotalTime>
  <ScaleCrop>false</ScaleCrop>
  <LinksUpToDate>false</LinksUpToDate>
  <CharactersWithSpaces>14103</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2022-03-12T15:10:00Z</dcterms:created>
  <dc:creator>陈浩</dc:creator>
  <cp:lastModifiedBy>应心茹</cp:lastModifiedBy>
  <dcterms:modified xsi:type="dcterms:W3CDTF">2024-03-01T09:34:36Z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53D395A62D6B99D3B434F8645F83C450_43</vt:lpwstr>
  </property>
</Properties>
</file>