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rPr>
          <w:rFonts w:ascii="黑体" w:eastAsia="黑体"/>
          <w:sz w:val="30"/>
          <w:szCs w:val="30"/>
        </w:rPr>
      </w:pPr>
      <w:bookmarkStart w:id="0" w:name="_GoBack"/>
      <w:bookmarkEnd w:id="0"/>
      <w:r>
        <w:rPr>
          <w:rFonts w:hint="eastAsia" w:ascii="黑体" w:eastAsia="黑体"/>
          <w:sz w:val="30"/>
          <w:szCs w:val="30"/>
        </w:rPr>
        <w:t xml:space="preserve"> 温州银行“金鹿理财-普惠季享”</w:t>
      </w:r>
      <w:r>
        <w:rPr>
          <w:rFonts w:hint="eastAsia" w:ascii="黑体" w:eastAsia="黑体"/>
          <w:sz w:val="30"/>
          <w:szCs w:val="30"/>
          <w:u w:val="single"/>
          <w:lang w:val="en-US" w:eastAsia="zh-CN"/>
        </w:rPr>
        <w:t>6</w:t>
      </w:r>
      <w:r>
        <w:rPr>
          <w:rFonts w:hint="eastAsia" w:ascii="黑体" w:eastAsia="黑体"/>
          <w:sz w:val="30"/>
          <w:szCs w:val="30"/>
        </w:rPr>
        <w:t>号</w:t>
      </w:r>
    </w:p>
    <w:p>
      <w:pPr>
        <w:spacing w:line="372" w:lineRule="auto"/>
        <w:jc w:val="center"/>
        <w:rPr>
          <w:rFonts w:ascii="宋体" w:hAnsi="宋体"/>
          <w:sz w:val="30"/>
          <w:szCs w:val="30"/>
        </w:rPr>
      </w:pPr>
      <w:r>
        <w:rPr>
          <w:rFonts w:hint="eastAsia" w:ascii="黑体" w:eastAsia="黑体"/>
          <w:sz w:val="30"/>
          <w:szCs w:val="30"/>
        </w:rPr>
        <w:t>开放式净值型银行理财计划风险揭示书</w:t>
      </w:r>
    </w:p>
    <w:p>
      <w:pPr>
        <w:adjustRightInd w:val="0"/>
        <w:snapToGrid w:val="0"/>
        <w:spacing w:before="240" w:line="302" w:lineRule="auto"/>
        <w:rPr>
          <w:rFonts w:ascii="宋体" w:hAnsi="宋体"/>
          <w:b/>
          <w:szCs w:val="21"/>
        </w:rPr>
      </w:pPr>
      <w:r>
        <w:rPr>
          <w:rFonts w:hint="eastAsia" w:ascii="宋体" w:hAnsi="宋体"/>
          <w:b/>
          <w:szCs w:val="21"/>
        </w:rPr>
        <w:t>尊敬的客户：</w:t>
      </w:r>
    </w:p>
    <w:p>
      <w:pPr>
        <w:adjustRightInd w:val="0"/>
        <w:snapToGrid w:val="0"/>
        <w:spacing w:line="302" w:lineRule="auto"/>
        <w:ind w:firstLine="420"/>
        <w:rPr>
          <w:rFonts w:ascii="宋体" w:hAnsi="宋体"/>
          <w:szCs w:val="21"/>
        </w:rPr>
      </w:pPr>
      <w:r>
        <w:rPr>
          <w:rFonts w:hint="eastAsia"/>
          <w:b/>
          <w:szCs w:val="21"/>
        </w:rPr>
        <w:t>理财非存款、产品有风险、测算收益不等于实际收益、投资须谨慎</w:t>
      </w:r>
      <w:r>
        <w:rPr>
          <w:rFonts w:hint="eastAsia" w:ascii="宋体" w:hAnsi="宋体"/>
          <w:szCs w:val="21"/>
        </w:rPr>
        <w:t>，请在认购（申购）该理财产品前特别注意以下事项：</w:t>
      </w:r>
    </w:p>
    <w:p>
      <w:pPr>
        <w:adjustRightInd w:val="0"/>
        <w:snapToGrid w:val="0"/>
        <w:spacing w:line="302" w:lineRule="auto"/>
        <w:ind w:firstLine="420"/>
        <w:rPr>
          <w:rFonts w:ascii="宋体" w:hAnsi="宋体"/>
          <w:b/>
          <w:bCs/>
          <w:szCs w:val="21"/>
        </w:rPr>
      </w:pPr>
      <w:r>
        <w:rPr>
          <w:rFonts w:hint="eastAsia" w:ascii="宋体" w:hAnsi="宋体"/>
          <w:szCs w:val="21"/>
        </w:rPr>
        <w:t>一、</w:t>
      </w:r>
      <w:r>
        <w:rPr>
          <w:rFonts w:hint="eastAsia"/>
          <w:szCs w:val="21"/>
        </w:rPr>
        <w:t>您将认购（申购）的温州银行“金鹿理财</w:t>
      </w:r>
      <w:r>
        <w:rPr>
          <w:rFonts w:hint="eastAsia" w:ascii="宋体" w:hAnsi="宋体"/>
          <w:szCs w:val="21"/>
        </w:rPr>
        <w:t>-</w:t>
      </w:r>
      <w:r>
        <w:rPr>
          <w:rFonts w:hint="eastAsia"/>
          <w:szCs w:val="21"/>
        </w:rPr>
        <w:t>普惠季享”</w:t>
      </w:r>
      <w:r>
        <w:rPr>
          <w:rFonts w:hint="eastAsia"/>
          <w:szCs w:val="21"/>
          <w:u w:val="single"/>
          <w:lang w:val="en-US" w:eastAsia="zh-CN"/>
        </w:rPr>
        <w:t>6</w:t>
      </w:r>
      <w:r>
        <w:rPr>
          <w:rFonts w:hint="eastAsia"/>
          <w:szCs w:val="21"/>
        </w:rPr>
        <w:t>号开放式净值型银行理财计划，投资类型属于</w:t>
      </w:r>
      <w:r>
        <w:rPr>
          <w:rFonts w:hint="eastAsia"/>
          <w:szCs w:val="21"/>
          <w:u w:val="single"/>
        </w:rPr>
        <w:t>固定收益类理财产品</w:t>
      </w:r>
      <w:r>
        <w:rPr>
          <w:rFonts w:hint="eastAsia"/>
          <w:szCs w:val="21"/>
        </w:rPr>
        <w:t>，运作模式为</w:t>
      </w:r>
      <w:r>
        <w:rPr>
          <w:rFonts w:hint="eastAsia"/>
          <w:szCs w:val="21"/>
          <w:u w:val="single"/>
        </w:rPr>
        <w:t>开放式净值型</w:t>
      </w:r>
      <w:r>
        <w:rPr>
          <w:rFonts w:hint="eastAsia"/>
          <w:szCs w:val="21"/>
        </w:rPr>
        <w:t>，在产品存续期内不定期开放第i期运作期理财申购及赎回兑付，每个运作期内的理财期限、理财起始日、理财到期日及业绩比较基准等要素以《温州银行</w:t>
      </w:r>
      <w:r>
        <w:rPr>
          <w:rFonts w:hint="eastAsia" w:ascii="宋体" w:hAnsi="宋体"/>
          <w:szCs w:val="21"/>
        </w:rPr>
        <w:t>“金鹿理财-普惠</w:t>
      </w:r>
      <w:r>
        <w:rPr>
          <w:rFonts w:hint="eastAsia" w:ascii="宋体" w:hAnsi="宋体"/>
          <w:szCs w:val="21"/>
          <w:lang w:eastAsia="zh-CN"/>
        </w:rPr>
        <w:t>季享”6号</w:t>
      </w:r>
      <w:r>
        <w:rPr>
          <w:rFonts w:hint="eastAsia" w:ascii="宋体" w:hAnsi="宋体"/>
          <w:szCs w:val="21"/>
        </w:rPr>
        <w:t>开放式净值</w:t>
      </w:r>
      <w:r>
        <w:rPr>
          <w:rFonts w:hint="eastAsia"/>
          <w:szCs w:val="21"/>
        </w:rPr>
        <w:t>型（第i期）银行理财计划开放认购（申购）申请书》约定为准。</w:t>
      </w:r>
      <w:r>
        <w:rPr>
          <w:rFonts w:hint="eastAsia"/>
          <w:b/>
          <w:szCs w:val="21"/>
        </w:rPr>
        <w:t>根据温</w:t>
      </w:r>
      <w:r>
        <w:rPr>
          <w:rFonts w:hint="eastAsia" w:ascii="宋体" w:hAnsi="宋体"/>
          <w:b/>
          <w:szCs w:val="21"/>
        </w:rPr>
        <w:t>州银行内部风险评级标准，该产品的风险等级为</w:t>
      </w:r>
      <w:r>
        <w:rPr>
          <w:rFonts w:ascii="宋体" w:hAnsi="宋体"/>
          <w:b/>
          <w:szCs w:val="21"/>
          <w:u w:val="single"/>
        </w:rPr>
        <w:t>PR2</w:t>
      </w:r>
      <w:r>
        <w:rPr>
          <w:rFonts w:hint="eastAsia" w:ascii="宋体" w:hAnsi="宋体"/>
          <w:b/>
          <w:szCs w:val="21"/>
          <w:u w:val="single"/>
        </w:rPr>
        <w:t>级</w:t>
      </w:r>
      <w:r>
        <w:rPr>
          <w:rFonts w:hint="eastAsia" w:ascii="宋体" w:hAnsi="宋体"/>
          <w:b/>
          <w:szCs w:val="21"/>
        </w:rPr>
        <w:t>（稳健型）：总体风险程度较低，银行不承诺本金保障，产品收益随投资表现变动。</w:t>
      </w:r>
      <w:r>
        <w:rPr>
          <w:rFonts w:hint="eastAsia" w:ascii="宋体" w:hAnsi="宋体"/>
          <w:szCs w:val="21"/>
        </w:rPr>
        <w:t>本理财产品适合客户：经温州银行评估为稳健型、平衡型、进取型、激进型的个人投资者。</w:t>
      </w:r>
      <w:r>
        <w:rPr>
          <w:rFonts w:hint="eastAsia" w:ascii="宋体" w:hAnsi="宋体"/>
          <w:b/>
          <w:bCs/>
          <w:szCs w:val="21"/>
        </w:rPr>
        <w:t>如影响您风险承受能力的因素发生变化，请在认购（申购）前及时重新完成风险承受能力评估。</w:t>
      </w:r>
    </w:p>
    <w:p>
      <w:pPr>
        <w:adjustRightInd w:val="0"/>
        <w:snapToGrid w:val="0"/>
        <w:spacing w:line="302" w:lineRule="auto"/>
        <w:ind w:firstLine="420"/>
        <w:rPr>
          <w:rFonts w:ascii="宋体" w:hAnsi="宋体"/>
          <w:szCs w:val="21"/>
        </w:rPr>
      </w:pPr>
      <w:r>
        <w:rPr>
          <w:rFonts w:hint="eastAsia" w:ascii="宋体" w:hAnsi="宋体"/>
          <w:szCs w:val="21"/>
        </w:rPr>
        <w:t>二、温州银行将按照理财合约和产品说明书等文件约定之条件进行理财资金的投资管理，在运作管理过程中，将可能存在管理风险、政策风险、市场风险、早偿风险、</w:t>
      </w:r>
      <w:r>
        <w:rPr>
          <w:rFonts w:ascii="宋体" w:hAnsi="宋体"/>
          <w:szCs w:val="21"/>
        </w:rPr>
        <w:t>信用风险</w:t>
      </w:r>
      <w:r>
        <w:rPr>
          <w:rFonts w:hint="eastAsia" w:ascii="宋体" w:hAnsi="宋体"/>
          <w:szCs w:val="21"/>
        </w:rPr>
        <w:t>等，在极端市场情况下，若在产品赎回清算日（或到期终止日）发生投资组合项下投资标的完全损失的最不利情况，投资者将损失全部本金。</w:t>
      </w:r>
    </w:p>
    <w:p>
      <w:pPr>
        <w:adjustRightInd w:val="0"/>
        <w:snapToGrid w:val="0"/>
        <w:spacing w:line="302" w:lineRule="auto"/>
        <w:ind w:firstLine="420"/>
        <w:rPr>
          <w:rFonts w:ascii="宋体" w:hAnsi="宋体"/>
          <w:szCs w:val="21"/>
        </w:rPr>
      </w:pPr>
      <w:r>
        <w:rPr>
          <w:rFonts w:hint="eastAsia" w:ascii="宋体" w:hAnsi="宋体"/>
          <w:szCs w:val="21"/>
        </w:rPr>
        <w:t>根据温州银行对本产品的内部风险评级结果，理财本金因市场变动而蒙受损失的概率较低，您应充分认识投资风险，谨慎投资。</w:t>
      </w:r>
    </w:p>
    <w:p>
      <w:pPr>
        <w:adjustRightInd w:val="0"/>
        <w:snapToGrid w:val="0"/>
        <w:spacing w:line="302" w:lineRule="auto"/>
        <w:ind w:firstLine="420"/>
        <w:rPr>
          <w:rFonts w:ascii="宋体" w:hAnsi="宋体"/>
          <w:szCs w:val="21"/>
        </w:rPr>
      </w:pPr>
      <w:r>
        <w:rPr>
          <w:rFonts w:hint="eastAsia" w:ascii="宋体" w:hAnsi="宋体"/>
          <w:szCs w:val="21"/>
        </w:rPr>
        <w:t>三、本风险揭示书及《温州银行“金鹿理财-普惠</w:t>
      </w:r>
      <w:r>
        <w:rPr>
          <w:rFonts w:hint="eastAsia" w:ascii="宋体" w:hAnsi="宋体"/>
          <w:szCs w:val="21"/>
          <w:lang w:eastAsia="zh-CN"/>
        </w:rPr>
        <w:t>季享”6号</w:t>
      </w:r>
      <w:r>
        <w:rPr>
          <w:rFonts w:hint="eastAsia" w:ascii="宋体" w:hAnsi="宋体"/>
          <w:szCs w:val="21"/>
        </w:rPr>
        <w:t>开放式净值型银行理财计划产品说明书》所揭示事项仅为列举性质，未能详尽列明投资者参与理财计划所面临的全部风险和可能导致投资者资产损失的所有因素。在您签约购买本理财产品前，应当仔细阅读本风险揭示书、《温州银行“金鹿理财”银行理财计划合约》、《温州银行“金鹿理财-普惠</w:t>
      </w:r>
      <w:r>
        <w:rPr>
          <w:rFonts w:hint="eastAsia" w:ascii="宋体" w:hAnsi="宋体"/>
          <w:szCs w:val="21"/>
          <w:lang w:eastAsia="zh-CN"/>
        </w:rPr>
        <w:t>季享”6号</w:t>
      </w:r>
      <w:r>
        <w:rPr>
          <w:rFonts w:hint="eastAsia" w:ascii="宋体" w:hAnsi="宋体"/>
          <w:szCs w:val="21"/>
        </w:rPr>
        <w:t>开放式净值型银行理财计划产品说明书》、《温州银行“金鹿理财-普惠</w:t>
      </w:r>
      <w:r>
        <w:rPr>
          <w:rFonts w:hint="eastAsia" w:ascii="宋体" w:hAnsi="宋体"/>
          <w:szCs w:val="21"/>
          <w:lang w:eastAsia="zh-CN"/>
        </w:rPr>
        <w:t>季享”6号</w:t>
      </w:r>
      <w:r>
        <w:rPr>
          <w:rFonts w:hint="eastAsia" w:ascii="宋体" w:hAnsi="宋体"/>
          <w:szCs w:val="21"/>
        </w:rPr>
        <w:t>开放式净值型（第i期）银行理财计划开放认购（申购）申请书》和《</w:t>
      </w:r>
      <w:r>
        <w:rPr>
          <w:rFonts w:ascii="宋体" w:hAnsi="宋体"/>
          <w:szCs w:val="21"/>
        </w:rPr>
        <w:t>温州银行理财产品投资者权益须知</w:t>
      </w:r>
      <w:r>
        <w:rPr>
          <w:rFonts w:hint="eastAsia" w:ascii="宋体" w:hAnsi="宋体"/>
          <w:szCs w:val="21"/>
        </w:rPr>
        <w:t>》，这些销售文件将共同构成客户与银行之间的理财交易合同。同时您还应向销售银行详细了解本产品的产品特性、资金投向、风险揭示内容及风险管控措施等内容。</w:t>
      </w:r>
    </w:p>
    <w:p>
      <w:pPr>
        <w:adjustRightInd w:val="0"/>
        <w:snapToGrid w:val="0"/>
        <w:spacing w:line="302" w:lineRule="auto"/>
        <w:ind w:firstLine="420"/>
        <w:rPr>
          <w:rFonts w:ascii="宋体" w:hAnsi="宋体"/>
          <w:szCs w:val="21"/>
        </w:rPr>
      </w:pPr>
      <w:r>
        <w:rPr>
          <w:rFonts w:hint="eastAsia" w:ascii="宋体" w:hAnsi="宋体"/>
          <w:szCs w:val="21"/>
        </w:rPr>
        <w:t>您对本风险揭示书、理财合约和产品说明书的签署，将表明您已了解认购（申购）本期理财产品可能存在的风险，且表明您已认真阅读并理解所有的合约文件，并愿意受上述法律文件的约束并依法承担相应的理财投资风险，您认购（申购）本期理财产品，并由温州银行将理财资金运用于理财合约和产品说明书约定投资标的，是您的真实意思表示。</w:t>
      </w:r>
    </w:p>
    <w:p>
      <w:pPr>
        <w:adjustRightInd w:val="0"/>
        <w:snapToGrid w:val="0"/>
        <w:spacing w:line="302" w:lineRule="auto"/>
        <w:ind w:firstLine="5670" w:firstLineChars="2700"/>
        <w:rPr>
          <w:rFonts w:ascii="宋体" w:hAnsi="宋体"/>
          <w:szCs w:val="21"/>
        </w:rPr>
      </w:pPr>
      <w:r>
        <w:rPr>
          <w:rFonts w:hint="eastAsia" w:ascii="宋体" w:hAnsi="宋体"/>
          <w:szCs w:val="21"/>
        </w:rPr>
        <w:t>风险揭示方：温州银行股份有限公司</w:t>
      </w:r>
    </w:p>
    <w:p>
      <w:pPr>
        <w:adjustRightInd w:val="0"/>
        <w:snapToGrid w:val="0"/>
        <w:spacing w:before="240" w:line="302" w:lineRule="auto"/>
        <w:jc w:val="center"/>
        <w:rPr>
          <w:rFonts w:ascii="宋体" w:hAnsi="宋体"/>
          <w:b/>
          <w:sz w:val="28"/>
          <w:szCs w:val="28"/>
        </w:rPr>
      </w:pPr>
      <w:r>
        <w:rPr>
          <w:rFonts w:hint="eastAsia" w:ascii="宋体" w:hAnsi="宋体"/>
          <w:b/>
          <w:sz w:val="28"/>
          <w:szCs w:val="28"/>
        </w:rPr>
        <w:t>客户确认栏</w:t>
      </w:r>
    </w:p>
    <w:p>
      <w:pPr>
        <w:adjustRightInd w:val="0"/>
        <w:snapToGrid w:val="0"/>
        <w:spacing w:line="302" w:lineRule="auto"/>
        <w:rPr>
          <w:b/>
          <w:szCs w:val="21"/>
        </w:rPr>
      </w:pPr>
      <w:r>
        <w:rPr>
          <w:rFonts w:hint="eastAsia"/>
          <w:b/>
          <w:szCs w:val="21"/>
        </w:rPr>
        <w:t>本人经温州银行评估的风险承受能力等级为（客户填写）：</w:t>
      </w:r>
    </w:p>
    <w:p>
      <w:pPr>
        <w:adjustRightInd w:val="0"/>
        <w:snapToGrid w:val="0"/>
        <w:spacing w:line="302" w:lineRule="auto"/>
        <w:ind w:firstLine="315" w:firstLineChars="150"/>
        <w:rPr>
          <w:rFonts w:ascii="宋体" w:hAnsi="宋体"/>
          <w:szCs w:val="21"/>
          <w:u w:val="single"/>
        </w:rPr>
      </w:pPr>
      <w:r>
        <w:rPr>
          <w:rFonts w:hint="eastAsia" w:ascii="宋体" w:hAnsi="宋体"/>
          <w:szCs w:val="21"/>
          <w:u w:val="single"/>
        </w:rPr>
        <w:t>□保守型           □稳健型           □平衡型           □进取型          □激进型</w:t>
      </w:r>
    </w:p>
    <w:p>
      <w:pPr>
        <w:adjustRightInd w:val="0"/>
        <w:snapToGrid w:val="0"/>
        <w:spacing w:line="302" w:lineRule="auto"/>
        <w:rPr>
          <w:rFonts w:ascii="宋体" w:hAnsi="宋体"/>
          <w:b/>
          <w:szCs w:val="21"/>
        </w:rPr>
      </w:pPr>
      <w:r>
        <w:rPr>
          <w:rFonts w:hint="eastAsia" w:ascii="宋体" w:hAnsi="宋体"/>
          <w:b/>
          <w:szCs w:val="21"/>
        </w:rPr>
        <w:t>本人同时确认如下：</w:t>
      </w:r>
      <w:r>
        <w:rPr>
          <w:rFonts w:hint="eastAsia" w:ascii="宋体" w:hAnsi="宋体"/>
          <w:b/>
          <w:szCs w:val="21"/>
          <w:u w:val="single"/>
        </w:rPr>
        <w:t xml:space="preserve">                                                                    </w:t>
      </w:r>
    </w:p>
    <w:p>
      <w:pPr>
        <w:adjustRightInd w:val="0"/>
        <w:snapToGrid w:val="0"/>
        <w:spacing w:line="302" w:lineRule="auto"/>
        <w:rPr>
          <w:b/>
          <w:szCs w:val="21"/>
        </w:rPr>
      </w:pPr>
      <w:r>
        <w:rPr>
          <w:rFonts w:hint="eastAsia"/>
          <w:b/>
          <w:szCs w:val="21"/>
          <w:u w:val="single"/>
        </w:rPr>
        <w:t xml:space="preserve">                                                                                 </w:t>
      </w:r>
      <w:r>
        <w:rPr>
          <w:rFonts w:hint="eastAsia"/>
          <w:szCs w:val="21"/>
        </w:rPr>
        <w:t>。</w:t>
      </w:r>
    </w:p>
    <w:p>
      <w:pPr>
        <w:adjustRightInd w:val="0"/>
        <w:snapToGrid w:val="0"/>
        <w:spacing w:line="302" w:lineRule="auto"/>
        <w:rPr>
          <w:szCs w:val="21"/>
        </w:rPr>
      </w:pPr>
      <w:r>
        <w:rPr>
          <w:rFonts w:hint="eastAsia"/>
          <w:szCs w:val="21"/>
        </w:rPr>
        <w:t>（客户需全文抄录以下文字以完成确认：“</w:t>
      </w:r>
      <w:r>
        <w:rPr>
          <w:rFonts w:hint="eastAsia"/>
          <w:b/>
          <w:szCs w:val="21"/>
        </w:rPr>
        <w:t>本人已经阅读上述风险提示，愿意承担投资风险</w:t>
      </w:r>
      <w:r>
        <w:rPr>
          <w:rFonts w:hint="eastAsia"/>
          <w:szCs w:val="21"/>
        </w:rPr>
        <w:t>”。）</w:t>
      </w:r>
    </w:p>
    <w:p>
      <w:pPr>
        <w:adjustRightInd w:val="0"/>
        <w:snapToGrid w:val="0"/>
        <w:spacing w:line="302" w:lineRule="auto"/>
        <w:jc w:val="center"/>
        <w:rPr>
          <w:rFonts w:ascii="宋体" w:hAnsi="宋体"/>
          <w:szCs w:val="21"/>
        </w:rPr>
      </w:pPr>
      <w:r>
        <w:rPr>
          <w:rFonts w:hint="eastAsia" w:ascii="宋体" w:hAnsi="宋体"/>
          <w:szCs w:val="21"/>
        </w:rPr>
        <w:t>确认人（签字）：                               日期：</w:t>
      </w:r>
      <w:r>
        <w:rPr>
          <w:rFonts w:hint="eastAsia" w:ascii="宋体" w:hAnsi="宋体"/>
          <w:szCs w:val="21"/>
          <w:u w:val="single"/>
        </w:rPr>
        <w:t xml:space="preserve">        </w:t>
      </w:r>
      <w:r>
        <w:rPr>
          <w:rFonts w:hint="eastAsia" w:ascii="宋体" w:hAnsi="宋体"/>
          <w:szCs w:val="21"/>
        </w:rPr>
        <w:t>年</w:t>
      </w:r>
      <w:r>
        <w:rPr>
          <w:rFonts w:hint="eastAsia" w:ascii="宋体" w:hAnsi="宋体"/>
          <w:szCs w:val="21"/>
          <w:u w:val="single"/>
        </w:rPr>
        <w:t xml:space="preserve">    </w:t>
      </w:r>
      <w:r>
        <w:rPr>
          <w:rFonts w:hint="eastAsia" w:ascii="宋体" w:hAnsi="宋体"/>
          <w:szCs w:val="21"/>
        </w:rPr>
        <w:t>月</w:t>
      </w:r>
      <w:r>
        <w:rPr>
          <w:rFonts w:hint="eastAsia" w:ascii="宋体" w:hAnsi="宋体"/>
          <w:szCs w:val="21"/>
          <w:u w:val="single"/>
        </w:rPr>
        <w:t xml:space="preserve">    </w:t>
      </w:r>
      <w:r>
        <w:rPr>
          <w:rFonts w:hint="eastAsia" w:ascii="宋体" w:hAnsi="宋体"/>
          <w:szCs w:val="21"/>
        </w:rPr>
        <w:t>日</w:t>
      </w:r>
    </w:p>
    <w:p>
      <w:pPr>
        <w:adjustRightInd w:val="0"/>
        <w:snapToGrid w:val="0"/>
        <w:spacing w:line="322" w:lineRule="auto"/>
        <w:jc w:val="center"/>
        <w:rPr>
          <w:rFonts w:ascii="黑体" w:eastAsia="黑体"/>
          <w:sz w:val="30"/>
          <w:szCs w:val="30"/>
        </w:rPr>
      </w:pPr>
      <w:r>
        <w:rPr>
          <w:rFonts w:hint="eastAsia" w:ascii="黑体" w:eastAsia="黑体"/>
          <w:sz w:val="30"/>
          <w:szCs w:val="30"/>
        </w:rPr>
        <w:t>温州银行“金鹿理财-普惠季享”</w:t>
      </w:r>
      <w:r>
        <w:rPr>
          <w:rFonts w:hint="eastAsia" w:ascii="黑体" w:eastAsia="黑体"/>
          <w:sz w:val="30"/>
          <w:szCs w:val="30"/>
          <w:u w:val="single"/>
          <w:lang w:val="en-US" w:eastAsia="zh-CN"/>
        </w:rPr>
        <w:t>6</w:t>
      </w:r>
      <w:r>
        <w:rPr>
          <w:rFonts w:hint="eastAsia" w:ascii="黑体" w:eastAsia="黑体"/>
          <w:sz w:val="30"/>
          <w:szCs w:val="30"/>
        </w:rPr>
        <w:t>号</w:t>
      </w:r>
    </w:p>
    <w:p>
      <w:pPr>
        <w:spacing w:line="372" w:lineRule="auto"/>
        <w:jc w:val="center"/>
        <w:rPr>
          <w:rFonts w:ascii="黑体" w:eastAsia="黑体"/>
          <w:bCs/>
          <w:sz w:val="30"/>
          <w:szCs w:val="30"/>
        </w:rPr>
      </w:pPr>
      <w:r>
        <w:rPr>
          <w:rFonts w:hint="eastAsia" w:ascii="黑体" w:eastAsia="黑体"/>
          <w:sz w:val="30"/>
          <w:szCs w:val="30"/>
        </w:rPr>
        <w:t>开放式净值型</w:t>
      </w:r>
      <w:r>
        <w:rPr>
          <w:rFonts w:hint="eastAsia" w:ascii="黑体" w:eastAsia="黑体"/>
          <w:bCs/>
          <w:sz w:val="30"/>
          <w:szCs w:val="30"/>
        </w:rPr>
        <w:t>银行理财计划产品说明书</w:t>
      </w:r>
    </w:p>
    <w:p>
      <w:pPr>
        <w:adjustRightInd w:val="0"/>
        <w:snapToGrid w:val="0"/>
        <w:spacing w:before="120" w:line="288" w:lineRule="auto"/>
        <w:rPr>
          <w:b/>
          <w:sz w:val="18"/>
          <w:szCs w:val="18"/>
        </w:rPr>
      </w:pPr>
      <w:r>
        <w:rPr>
          <w:rFonts w:hint="eastAsia"/>
          <w:b/>
          <w:sz w:val="18"/>
          <w:szCs w:val="18"/>
        </w:rPr>
        <w:t>重要须知</w:t>
      </w:r>
    </w:p>
    <w:p>
      <w:pPr>
        <w:adjustRightInd w:val="0"/>
        <w:snapToGrid w:val="0"/>
        <w:spacing w:line="288" w:lineRule="auto"/>
        <w:rPr>
          <w:sz w:val="18"/>
          <w:szCs w:val="18"/>
        </w:rPr>
      </w:pPr>
      <w:r>
        <w:rPr>
          <w:rFonts w:hint="eastAsia"/>
          <w:sz w:val="18"/>
          <w:szCs w:val="18"/>
        </w:rPr>
        <w:t>本产品与银行存款存在明显区别，具有一定的风险。</w:t>
      </w:r>
    </w:p>
    <w:p>
      <w:pPr>
        <w:adjustRightInd w:val="0"/>
        <w:snapToGrid w:val="0"/>
        <w:spacing w:line="288" w:lineRule="auto"/>
        <w:rPr>
          <w:sz w:val="18"/>
          <w:szCs w:val="18"/>
        </w:rPr>
      </w:pPr>
      <w:r>
        <w:rPr>
          <w:rFonts w:hint="eastAsia"/>
          <w:sz w:val="18"/>
          <w:szCs w:val="18"/>
        </w:rPr>
        <w:t>本产品适合于无投资经验投资者和有投资经验投资者。</w:t>
      </w:r>
    </w:p>
    <w:p>
      <w:pPr>
        <w:adjustRightInd w:val="0"/>
        <w:snapToGrid w:val="0"/>
        <w:spacing w:line="288" w:lineRule="auto"/>
        <w:rPr>
          <w:b/>
          <w:sz w:val="18"/>
          <w:szCs w:val="18"/>
        </w:rPr>
      </w:pPr>
      <w:r>
        <w:rPr>
          <w:b/>
          <w:sz w:val="18"/>
          <w:szCs w:val="18"/>
        </w:rPr>
        <w:t xml:space="preserve">*** </w:t>
      </w:r>
      <w:r>
        <w:rPr>
          <w:rFonts w:hint="eastAsia"/>
          <w:b/>
          <w:sz w:val="18"/>
          <w:szCs w:val="18"/>
        </w:rPr>
        <w:t>本产品主要风险为理财本金及收益风险，在极端市场情况下，若产品赎回清算日（或到期终止日）发生投资组合项下投资标的完全损失的最不利情况，投资者将损失全部本金。温州银行对理财本金及收益不提供保证承诺，请投资者基于自身的独立判断进行投资决策。</w:t>
      </w:r>
    </w:p>
    <w:p>
      <w:pPr>
        <w:adjustRightInd w:val="0"/>
        <w:snapToGrid w:val="0"/>
        <w:spacing w:line="288" w:lineRule="auto"/>
        <w:rPr>
          <w:b/>
          <w:sz w:val="18"/>
          <w:szCs w:val="18"/>
        </w:rPr>
      </w:pPr>
      <w:r>
        <w:rPr>
          <w:rFonts w:hint="eastAsia"/>
          <w:b/>
          <w:sz w:val="18"/>
          <w:szCs w:val="18"/>
        </w:rPr>
        <w:t>为保障投资者的合法权益，请投资者在进行金融投资时，警惕任何人与机构假借温州银行理财产品之名推介、推销其他类型产品。</w:t>
      </w:r>
    </w:p>
    <w:p>
      <w:pPr>
        <w:adjustRightInd w:val="0"/>
        <w:snapToGrid w:val="0"/>
        <w:spacing w:line="288" w:lineRule="auto"/>
        <w:rPr>
          <w:sz w:val="18"/>
          <w:szCs w:val="18"/>
        </w:rPr>
      </w:pPr>
      <w:r>
        <w:rPr>
          <w:rFonts w:hint="eastAsia"/>
          <w:sz w:val="18"/>
          <w:szCs w:val="18"/>
        </w:rPr>
        <w:t>投资者在温州银行签署理财合约认购（申购）本产品前，应当仔细阅读本说明书的全部内容，同时向温州银行了解本产品的其他相关信息，确保自身完全了解该项投资的性质、投资所涉及的风险以及自身的风险承受能力，在慎重考虑后独立做出认购（申购）决定。本说明书及投资者在温州银行签署的理财计划合约，将共同构成客户与发行银行之间的银行理财计划交易合同。</w:t>
      </w:r>
    </w:p>
    <w:p>
      <w:pPr>
        <w:adjustRightInd w:val="0"/>
        <w:snapToGrid w:val="0"/>
        <w:spacing w:line="288" w:lineRule="auto"/>
        <w:rPr>
          <w:sz w:val="18"/>
          <w:szCs w:val="18"/>
        </w:rPr>
      </w:pPr>
      <w:r>
        <w:rPr>
          <w:rFonts w:hint="eastAsia"/>
          <w:sz w:val="18"/>
          <w:szCs w:val="18"/>
        </w:rPr>
        <w:t>投资者在认购（申购）本产品后，应随时关注本产品的信息披露情况，及时获取相关信息。如对本产品有任何疑问、异议或意见，请联系温州银行客户经理或反馈至银行营业网点，也可致电银行客户服务热线（</w:t>
      </w:r>
      <w:r>
        <w:rPr>
          <w:sz w:val="18"/>
          <w:szCs w:val="18"/>
        </w:rPr>
        <w:t>0577-96699</w:t>
      </w:r>
      <w:r>
        <w:rPr>
          <w:rFonts w:hint="eastAsia"/>
          <w:sz w:val="18"/>
          <w:szCs w:val="18"/>
        </w:rPr>
        <w:t>）。</w:t>
      </w:r>
    </w:p>
    <w:p>
      <w:pPr>
        <w:adjustRightInd w:val="0"/>
        <w:snapToGrid w:val="0"/>
        <w:spacing w:line="288" w:lineRule="auto"/>
        <w:rPr>
          <w:b/>
          <w:sz w:val="18"/>
          <w:szCs w:val="18"/>
        </w:rPr>
      </w:pPr>
      <w:r>
        <w:rPr>
          <w:rFonts w:hint="eastAsia"/>
          <w:b/>
          <w:sz w:val="18"/>
          <w:szCs w:val="18"/>
        </w:rPr>
        <w:t>释义</w:t>
      </w:r>
    </w:p>
    <w:p>
      <w:pPr>
        <w:adjustRightInd w:val="0"/>
        <w:snapToGrid w:val="0"/>
        <w:spacing w:line="288" w:lineRule="auto"/>
        <w:rPr>
          <w:sz w:val="18"/>
          <w:szCs w:val="18"/>
        </w:rPr>
      </w:pPr>
      <w:r>
        <w:rPr>
          <w:rFonts w:hint="eastAsia"/>
          <w:sz w:val="18"/>
          <w:szCs w:val="18"/>
        </w:rPr>
        <w:t>本说明书中，除非另有明确说明，否则下列词语或简称具有如下含义：</w:t>
      </w:r>
    </w:p>
    <w:p>
      <w:pPr>
        <w:adjustRightInd w:val="0"/>
        <w:snapToGrid w:val="0"/>
        <w:spacing w:line="288" w:lineRule="auto"/>
        <w:rPr>
          <w:sz w:val="18"/>
          <w:szCs w:val="18"/>
        </w:rPr>
      </w:pPr>
      <w:r>
        <w:rPr>
          <w:rFonts w:hint="eastAsia"/>
          <w:sz w:val="18"/>
          <w:szCs w:val="18"/>
        </w:rPr>
        <w:t>产品：指“金鹿理财</w:t>
      </w:r>
      <w:r>
        <w:rPr>
          <w:rFonts w:hint="eastAsia" w:ascii="宋体" w:hAnsi="宋体"/>
          <w:sz w:val="18"/>
          <w:szCs w:val="18"/>
        </w:rPr>
        <w:t>-</w:t>
      </w:r>
      <w:r>
        <w:rPr>
          <w:rFonts w:hint="eastAsia"/>
          <w:sz w:val="18"/>
          <w:szCs w:val="18"/>
        </w:rPr>
        <w:t>普惠</w:t>
      </w:r>
      <w:r>
        <w:rPr>
          <w:rFonts w:hint="eastAsia"/>
          <w:sz w:val="18"/>
          <w:szCs w:val="18"/>
          <w:lang w:eastAsia="zh-CN"/>
        </w:rPr>
        <w:t>季享”6号</w:t>
      </w:r>
      <w:r>
        <w:rPr>
          <w:rFonts w:hint="eastAsia"/>
          <w:sz w:val="18"/>
          <w:szCs w:val="18"/>
        </w:rPr>
        <w:t>开放式净值型银行理财计划</w:t>
      </w:r>
    </w:p>
    <w:p>
      <w:pPr>
        <w:adjustRightInd w:val="0"/>
        <w:snapToGrid w:val="0"/>
        <w:spacing w:line="288" w:lineRule="auto"/>
        <w:rPr>
          <w:sz w:val="18"/>
          <w:szCs w:val="18"/>
        </w:rPr>
      </w:pPr>
      <w:r>
        <w:rPr>
          <w:rFonts w:hint="eastAsia"/>
          <w:sz w:val="18"/>
          <w:szCs w:val="18"/>
        </w:rPr>
        <w:t>发行银行：指温州银行股份有限公司</w:t>
      </w:r>
    </w:p>
    <w:p>
      <w:pPr>
        <w:adjustRightInd w:val="0"/>
        <w:snapToGrid w:val="0"/>
        <w:spacing w:line="288" w:lineRule="auto"/>
        <w:rPr>
          <w:sz w:val="18"/>
          <w:szCs w:val="18"/>
        </w:rPr>
      </w:pPr>
      <w:r>
        <w:rPr>
          <w:rFonts w:hint="eastAsia"/>
          <w:sz w:val="18"/>
          <w:szCs w:val="18"/>
        </w:rPr>
        <w:t>产品托管人：具有证券投资基金托管业务资格的商业银行</w:t>
      </w:r>
    </w:p>
    <w:p>
      <w:pPr>
        <w:adjustRightInd w:val="0"/>
        <w:snapToGrid w:val="0"/>
        <w:spacing w:line="288" w:lineRule="auto"/>
        <w:rPr>
          <w:sz w:val="18"/>
          <w:szCs w:val="18"/>
        </w:rPr>
      </w:pPr>
      <w:r>
        <w:rPr>
          <w:rFonts w:hint="eastAsia"/>
          <w:sz w:val="18"/>
          <w:szCs w:val="18"/>
        </w:rPr>
        <w:t>销售银行：指直销银行和代销银行。直销银行指温州银行股份有限公司。本产品无代销银行。</w:t>
      </w:r>
    </w:p>
    <w:p>
      <w:pPr>
        <w:widowControl/>
        <w:adjustRightInd w:val="0"/>
        <w:snapToGrid w:val="0"/>
        <w:spacing w:line="300" w:lineRule="auto"/>
        <w:outlineLvl w:val="0"/>
        <w:rPr>
          <w:b/>
          <w:sz w:val="18"/>
          <w:szCs w:val="18"/>
        </w:rPr>
      </w:pPr>
      <w:r>
        <w:rPr>
          <w:rFonts w:hint="eastAsia"/>
          <w:b/>
          <w:sz w:val="18"/>
          <w:szCs w:val="18"/>
        </w:rPr>
        <w:t>产品风险评级：PR2</w:t>
      </w:r>
    </w:p>
    <w:p>
      <w:pPr>
        <w:widowControl/>
        <w:adjustRightInd w:val="0"/>
        <w:snapToGrid w:val="0"/>
        <w:spacing w:line="300" w:lineRule="auto"/>
        <w:outlineLvl w:val="0"/>
        <w:rPr>
          <w:b/>
          <w:sz w:val="18"/>
          <w:szCs w:val="18"/>
        </w:rPr>
      </w:pPr>
    </w:p>
    <w:tbl>
      <w:tblPr>
        <w:tblStyle w:val="9"/>
        <w:tblpPr w:leftFromText="180" w:rightFromText="180" w:vertAnchor="text" w:horzAnchor="page" w:tblpX="6768" w:tblpY="67"/>
        <w:tblW w:w="2093"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0" w:type="dxa"/>
          <w:left w:w="108" w:type="dxa"/>
          <w:bottom w:w="0" w:type="dxa"/>
          <w:right w:w="108" w:type="dxa"/>
        </w:tblCellMar>
      </w:tblPr>
      <w:tblGrid>
        <w:gridCol w:w="675"/>
        <w:gridCol w:w="14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PR5</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激进型产品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4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PR4</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进取型产品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PR3</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平衡型产品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64"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PR2</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稳健型产品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rPr>
          <w:trHeight w:val="481" w:hRule="atLeast"/>
        </w:trPr>
        <w:tc>
          <w:tcPr>
            <w:tcW w:w="675" w:type="dxa"/>
            <w:shd w:val="clear" w:color="auto" w:fill="D6E3BC"/>
            <w:vAlign w:val="center"/>
          </w:tcPr>
          <w:p>
            <w:pPr>
              <w:widowControl/>
              <w:adjustRightInd w:val="0"/>
              <w:snapToGrid w:val="0"/>
              <w:spacing w:line="300" w:lineRule="auto"/>
              <w:outlineLvl w:val="0"/>
              <w:rPr>
                <w:b/>
                <w:sz w:val="18"/>
                <w:szCs w:val="18"/>
              </w:rPr>
            </w:pPr>
            <w:r>
              <w:rPr>
                <w:rFonts w:hint="eastAsia"/>
                <w:b/>
                <w:sz w:val="18"/>
                <w:szCs w:val="18"/>
              </w:rPr>
              <w:t>PR1</w:t>
            </w:r>
          </w:p>
        </w:tc>
        <w:tc>
          <w:tcPr>
            <w:tcW w:w="1418" w:type="dxa"/>
            <w:vAlign w:val="center"/>
          </w:tcPr>
          <w:p>
            <w:pPr>
              <w:widowControl/>
              <w:adjustRightInd w:val="0"/>
              <w:snapToGrid w:val="0"/>
              <w:spacing w:line="300" w:lineRule="auto"/>
              <w:outlineLvl w:val="0"/>
              <w:rPr>
                <w:b/>
                <w:sz w:val="18"/>
                <w:szCs w:val="18"/>
              </w:rPr>
            </w:pPr>
            <w:r>
              <w:rPr>
                <w:rFonts w:hint="eastAsia"/>
                <w:b/>
                <w:sz w:val="18"/>
                <w:szCs w:val="18"/>
              </w:rPr>
              <w:t>谨慎型产品</w:t>
            </w:r>
          </w:p>
        </w:tc>
      </w:tr>
    </w:tbl>
    <w:p>
      <w:pPr>
        <w:widowControl/>
        <w:adjustRightInd w:val="0"/>
        <w:snapToGrid w:val="0"/>
        <w:spacing w:line="300" w:lineRule="auto"/>
        <w:outlineLvl w:val="0"/>
        <w:rPr>
          <w:b/>
          <w:sz w:val="18"/>
          <w:szCs w:val="18"/>
        </w:rPr>
      </w:pPr>
      <w:r>
        <w:rPr>
          <w:b/>
          <w:sz w:val="18"/>
          <w:szCs w:val="18"/>
        </w:rPr>
        <mc:AlternateContent>
          <mc:Choice Requires="wps">
            <w:drawing>
              <wp:anchor distT="0" distB="0" distL="114300" distR="114300" simplePos="0" relativeHeight="251660288" behindDoc="0" locked="0" layoutInCell="1" allowOverlap="1">
                <wp:simplePos x="0" y="0"/>
                <wp:positionH relativeFrom="column">
                  <wp:posOffset>-57785</wp:posOffset>
                </wp:positionH>
                <wp:positionV relativeFrom="paragraph">
                  <wp:posOffset>219710</wp:posOffset>
                </wp:positionV>
                <wp:extent cx="389890" cy="916305"/>
                <wp:effectExtent l="0" t="0" r="10160" b="17145"/>
                <wp:wrapNone/>
                <wp:docPr id="1" name="Text Box 12"/>
                <wp:cNvGraphicFramePr/>
                <a:graphic xmlns:a="http://schemas.openxmlformats.org/drawingml/2006/main">
                  <a:graphicData uri="http://schemas.microsoft.com/office/word/2010/wordprocessingShape">
                    <wps:wsp>
                      <wps:cNvSpPr txBox="1"/>
                      <wps:spPr>
                        <a:xfrm>
                          <a:off x="0" y="0"/>
                          <a:ext cx="389890" cy="916305"/>
                        </a:xfrm>
                        <a:prstGeom prst="rect">
                          <a:avLst/>
                        </a:prstGeom>
                        <a:solidFill>
                          <a:srgbClr val="FFFFFF"/>
                        </a:solidFill>
                        <a:ln>
                          <a:noFill/>
                        </a:ln>
                      </wps:spPr>
                      <wps:txbx>
                        <w:txbxContent>
                          <w:p>
                            <w:r>
                              <w:rPr>
                                <w:rFonts w:hint="eastAsia"/>
                              </w:rPr>
                              <w:t>业绩比较基准</w:t>
                            </w:r>
                          </w:p>
                        </w:txbxContent>
                      </wps:txbx>
                      <wps:bodyPr vert="eaVert" upright="1"/>
                    </wps:wsp>
                  </a:graphicData>
                </a:graphic>
              </wp:anchor>
            </w:drawing>
          </mc:Choice>
          <mc:Fallback>
            <w:pict>
              <v:shape id="Text Box 12" o:spid="_x0000_s1026" o:spt="202" type="#_x0000_t202" style="position:absolute;left:0pt;margin-left:-4.55pt;margin-top:17.3pt;height:72.15pt;width:30.7pt;z-index:251660288;mso-width-relative:page;mso-height-relative:page;" fillcolor="#FFFFFF" filled="t" stroked="f" coordsize="21600,21600" o:gfxdata="UEsDBAoAAAAAAIdO4kAAAAAAAAAAAAAAAAAEAAAAZHJzL1BLAwQUAAAACACHTuJASejezNkAAAAI&#10;AQAADwAAAGRycy9kb3ducmV2LnhtbE2PQU/CQBCF7yb+h82YeCGwLVUKtVtiiB5MYwwI96U7to3d&#10;2aa7QP33Dic9Tt6X977J16PtxBkH3zpSEM8iEEiVMy3VCvafr9MlCB80Gd05QgU/6GFd3N7kOjPu&#10;Qls870ItuIR8phU0IfSZlL5q0Go/cz0SZ19usDrwOdTSDPrC5baT8yhaSKtb4oVG97hpsPrenayC&#10;SVL65zgd00Pyvvl4K18m21CiUvd3cfQEIuAY/mC46rM6FOx0dCcyXnQKpquYSQXJwwIE54/zBMSR&#10;uXS5Alnk8v8DxS9QSwMEFAAAAAgAh07iQIgfYry4AQAAhAMAAA4AAABkcnMvZTJvRG9jLnhtbK1T&#10;S2/bMAy+D+h/EHRf7KRYkRhxCmxBehm2AX3cFVm2BegFUomdfz9K9tK1u/QwHfQgqY/8Pkrb+9Ea&#10;dlaA2ruaLxclZ8pJ32jX1fz56fB5zRlG4RphvFM1vyjk97ubT9shVGrle28aBYxAHFZDqHkfY6iK&#10;AmWvrMCFD8qRs/VgRaQjdEUDYiB0a4pVWd4Vg4cmgJcKkaz7yclnRPgIoG9bLdXey5NVLk6ooIyI&#10;RAl7HZDvcrVtq2T82baoIjM1J6Yxz5SE9sc0F7utqDoQoddyLkF8pIR3nKzQjpJeofYiCnYC/Q+U&#10;1RI8+jYupLfFRCQrQiyW5TttHnsRVOZCUmO4io7/D1b+OP8Cpht6CZw5YanhT2qM7Ksf2XKV5BkC&#10;VhT1GCgujmRPobMdyZhYjy3YtBIfRn4S93IVN6FJMt6uN+sNeSS5Nsu72/JLQileLwfA+KC8ZWlT&#10;c6DeZUnF+TvGKfRPSMqF3ujmoI3JB+iO3wyws6A+H/KY0d+EGZeCnU/XJsRkKRLFiUraxfE4zvyO&#10;vrkQbfotVJASL7Rydgqgu54MWYZ8mZqTqcwPKXX/73NO8fp5dr8B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UAAAACACHTuJAfubl&#10;IPcAAADhAQAAEwAAAFtDb250ZW50X1R5cGVzXS54bWyVkUFOwzAQRfdI3MHyFiVOu0AIJemCtEtA&#10;qBxgZE8Si2RseUxob4+TthtEkVjaM/+/J7vcHMZBTBjYOqrkKi+kQNLOWOoq+b7fZQ9ScAQyMDjC&#10;Sh6R5aa+vSn3R48sUpq4kn2M/lEp1j2OwLnzSGnSujBCTMfQKQ/6AzpU66K4V9pRRIpZnDtkXTbY&#10;wucQxfaQrk8mAQeW4um0OLMqCd4PVkNMpmoi84OSnQl5Si473FvPd0lDql8J8+Q64Jx7SU8TrEHx&#10;CiE+w5g0lAmsjPuigFP+d8lsOXLm2tZqzJvATYq94XSxutaOa9c4/d/y7ZK6dKvlg+pvUEsBAhQA&#10;FAAAAAgAh07iQH7m5SD3AAAA4QEAABMAAAAAAAAAAQAgAAAAKgQAAFtDb250ZW50X1R5cGVzXS54&#10;bWxQSwECFAAKAAAAAACHTuJAAAAAAAAAAAAAAAAABgAAAAAAAAAAABAAAAAMAwAAX3JlbHMvUEsB&#10;AhQAFAAAAAgAh07iQIoUZjzRAAAAlAEAAAsAAAAAAAAAAQAgAAAAMAMAAF9yZWxzLy5yZWxzUEsB&#10;AhQACgAAAAAAh07iQAAAAAAAAAAAAAAAAAQAAAAAAAAAAAAQAAAAAAAAAGRycy9QSwECFAAUAAAA&#10;CACHTuJASejezNkAAAAIAQAADwAAAAAAAAABACAAAAAiAAAAZHJzL2Rvd25yZXYueG1sUEsBAhQA&#10;FAAAAAgAh07iQIgfYry4AQAAhAMAAA4AAAAAAAAAAQAgAAAAKAEAAGRycy9lMm9Eb2MueG1sUEsF&#10;BgAAAAAGAAYAWQEAAFIFAAAAAA==&#10;">
                <v:fill on="t" focussize="0,0"/>
                <v:stroke on="f"/>
                <v:imagedata o:title=""/>
                <o:lock v:ext="edit" aspectratio="f"/>
                <v:textbox style="layout-flow:vertical-ideographic;">
                  <w:txbxContent>
                    <w:p>
                      <w:r>
                        <w:rPr>
                          <w:rFonts w:hint="eastAsia"/>
                        </w:rPr>
                        <w:t>业绩比较基准</w:t>
                      </w:r>
                    </w:p>
                  </w:txbxContent>
                </v:textbox>
              </v:shape>
            </w:pict>
          </mc:Fallback>
        </mc:AlternateContent>
      </w:r>
      <w:r>
        <w:rPr>
          <w:b/>
          <w:sz w:val="18"/>
          <w:szCs w:val="18"/>
        </w:rPr>
        <mc:AlternateContent>
          <mc:Choice Requires="wpg">
            <w:drawing>
              <wp:inline distT="0" distB="0" distL="114300" distR="114300">
                <wp:extent cx="3929380" cy="1896110"/>
                <wp:effectExtent l="0" t="0" r="13970" b="8890"/>
                <wp:docPr id="11" name="Group 2"/>
                <wp:cNvGraphicFramePr/>
                <a:graphic xmlns:a="http://schemas.openxmlformats.org/drawingml/2006/main">
                  <a:graphicData uri="http://schemas.microsoft.com/office/word/2010/wordprocessingGroup">
                    <wpg:wgp>
                      <wpg:cNvGrpSpPr>
                        <a:grpSpLocks noRot="1"/>
                      </wpg:cNvGrpSpPr>
                      <wpg:grpSpPr>
                        <a:xfrm>
                          <a:off x="0" y="0"/>
                          <a:ext cx="3929380" cy="1896110"/>
                          <a:chOff x="0" y="0"/>
                          <a:chExt cx="6188" cy="2986"/>
                        </a:xfrm>
                      </wpg:grpSpPr>
                      <wps:wsp>
                        <wps:cNvPr id="2" name="Picture 3"/>
                        <wps:cNvSpPr>
                          <a:spLocks noChangeAspect="1" noTextEdit="1"/>
                        </wps:cNvSpPr>
                        <wps:spPr>
                          <a:xfrm>
                            <a:off x="0" y="0"/>
                            <a:ext cx="6188" cy="2986"/>
                          </a:xfrm>
                          <a:prstGeom prst="rect">
                            <a:avLst/>
                          </a:prstGeom>
                          <a:noFill/>
                          <a:ln>
                            <a:noFill/>
                          </a:ln>
                        </wps:spPr>
                        <wps:bodyPr upright="1"/>
                      </wps:wsp>
                      <wps:wsp>
                        <wps:cNvPr id="3" name="Line 4"/>
                        <wps:cNvCnPr/>
                        <wps:spPr>
                          <a:xfrm>
                            <a:off x="254" y="2561"/>
                            <a:ext cx="5454" cy="1"/>
                          </a:xfrm>
                          <a:prstGeom prst="line">
                            <a:avLst/>
                          </a:prstGeom>
                          <a:ln w="9525" cap="flat" cmpd="sng">
                            <a:solidFill>
                              <a:srgbClr val="000000"/>
                            </a:solidFill>
                            <a:prstDash val="solid"/>
                            <a:headEnd type="none" w="med" len="med"/>
                            <a:tailEnd type="triangle" w="med" len="med"/>
                          </a:ln>
                        </wps:spPr>
                        <wps:bodyPr/>
                      </wps:wsp>
                      <wps:wsp>
                        <wps:cNvPr id="4" name="Line 5"/>
                        <wps:cNvCnPr/>
                        <wps:spPr>
                          <a:xfrm flipV="1">
                            <a:off x="614" y="0"/>
                            <a:ext cx="1" cy="2935"/>
                          </a:xfrm>
                          <a:prstGeom prst="line">
                            <a:avLst/>
                          </a:prstGeom>
                          <a:ln w="9525" cap="flat" cmpd="sng">
                            <a:solidFill>
                              <a:srgbClr val="000000"/>
                            </a:solidFill>
                            <a:prstDash val="solid"/>
                            <a:headEnd type="none" w="med" len="med"/>
                            <a:tailEnd type="triangle" w="med" len="med"/>
                          </a:ln>
                        </wps:spPr>
                        <wps:bodyPr/>
                      </wps:wsp>
                      <wps:wsp>
                        <wps:cNvPr id="5" name="Rectangle 6"/>
                        <wps:cNvSpPr/>
                        <wps:spPr>
                          <a:xfrm>
                            <a:off x="793" y="1937"/>
                            <a:ext cx="80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PR1</w:t>
                              </w:r>
                            </w:p>
                          </w:txbxContent>
                        </wps:txbx>
                        <wps:bodyPr upright="1"/>
                      </wps:wsp>
                      <wps:wsp>
                        <wps:cNvPr id="6" name="Rectangle 7"/>
                        <wps:cNvSpPr/>
                        <wps:spPr>
                          <a:xfrm>
                            <a:off x="1605" y="1469"/>
                            <a:ext cx="808" cy="468"/>
                          </a:xfrm>
                          <a:prstGeom prst="rect">
                            <a:avLst/>
                          </a:prstGeom>
                          <a:solidFill>
                            <a:srgbClr val="FFFF00"/>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PR2</w:t>
                              </w:r>
                            </w:p>
                          </w:txbxContent>
                        </wps:txbx>
                        <wps:bodyPr upright="1"/>
                      </wps:wsp>
                      <wps:wsp>
                        <wps:cNvPr id="7" name="Rectangle 8"/>
                        <wps:cNvSpPr/>
                        <wps:spPr>
                          <a:xfrm>
                            <a:off x="2415" y="1001"/>
                            <a:ext cx="815"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PR3</w:t>
                              </w:r>
                            </w:p>
                          </w:txbxContent>
                        </wps:txbx>
                        <wps:bodyPr upright="1"/>
                      </wps:wsp>
                      <wps:wsp>
                        <wps:cNvPr id="8" name="Rectangle 9"/>
                        <wps:cNvSpPr/>
                        <wps:spPr>
                          <a:xfrm>
                            <a:off x="3225" y="533"/>
                            <a:ext cx="823"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PR4</w:t>
                              </w:r>
                            </w:p>
                          </w:txbxContent>
                        </wps:txbx>
                        <wps:bodyPr upright="1"/>
                      </wps:wsp>
                      <wps:wsp>
                        <wps:cNvPr id="9" name="Rectangle 10"/>
                        <wps:cNvSpPr/>
                        <wps:spPr>
                          <a:xfrm>
                            <a:off x="4048" y="65"/>
                            <a:ext cx="841" cy="468"/>
                          </a:xfrm>
                          <a:prstGeom prst="rect">
                            <a:avLst/>
                          </a:prstGeom>
                          <a:solidFill>
                            <a:srgbClr val="FFFFFF"/>
                          </a:solidFill>
                          <a:ln w="9525" cap="flat" cmpd="sng">
                            <a:solidFill>
                              <a:srgbClr val="000000"/>
                            </a:solidFill>
                            <a:prstDash val="solid"/>
                            <a:miter/>
                            <a:headEnd type="none" w="med" len="med"/>
                            <a:tailEnd type="none" w="med" len="med"/>
                          </a:ln>
                        </wps:spPr>
                        <wps:txbx>
                          <w:txbxContent>
                            <w:p>
                              <w:pPr>
                                <w:ind w:firstLine="89" w:firstLineChars="49"/>
                                <w:rPr>
                                  <w:b/>
                                  <w:sz w:val="18"/>
                                  <w:szCs w:val="18"/>
                                </w:rPr>
                              </w:pPr>
                              <w:r>
                                <w:rPr>
                                  <w:rFonts w:hint="eastAsia"/>
                                  <w:b/>
                                  <w:sz w:val="18"/>
                                  <w:szCs w:val="18"/>
                                </w:rPr>
                                <w:t>PR5</w:t>
                              </w:r>
                            </w:p>
                          </w:txbxContent>
                        </wps:txbx>
                        <wps:bodyPr upright="1"/>
                      </wps:wsp>
                      <wps:wsp>
                        <wps:cNvPr id="10" name="Rectangle 11"/>
                        <wps:cNvSpPr/>
                        <wps:spPr>
                          <a:xfrm>
                            <a:off x="3630" y="2600"/>
                            <a:ext cx="2558" cy="386"/>
                          </a:xfrm>
                          <a:prstGeom prst="rect">
                            <a:avLst/>
                          </a:prstGeom>
                          <a:solidFill>
                            <a:srgbClr val="FFFFFF"/>
                          </a:solidFill>
                          <a:ln>
                            <a:noFill/>
                          </a:ln>
                        </wps:spPr>
                        <wps:txbx>
                          <w:txbxContent>
                            <w:p>
                              <w:pPr>
                                <w:jc w:val="center"/>
                                <w:rPr>
                                  <w:sz w:val="18"/>
                                  <w:szCs w:val="18"/>
                                </w:rPr>
                              </w:pPr>
                              <w:r>
                                <w:rPr>
                                  <w:rFonts w:hint="eastAsia"/>
                                  <w:sz w:val="18"/>
                                  <w:szCs w:val="18"/>
                                </w:rPr>
                                <w:t>风险程度</w:t>
                              </w:r>
                            </w:p>
                          </w:txbxContent>
                        </wps:txbx>
                        <wps:bodyPr upright="1"/>
                      </wps:wsp>
                    </wpg:wgp>
                  </a:graphicData>
                </a:graphic>
              </wp:inline>
            </w:drawing>
          </mc:Choice>
          <mc:Fallback>
            <w:pict>
              <v:group id="Group 2" o:spid="_x0000_s1026" o:spt="203" style="height:149.3pt;width:309.4pt;" coordsize="6188,2986" o:gfxdata="UEsDBAoAAAAAAIdO4kAAAAAAAAAAAAAAAAAEAAAAZHJzL1BLAwQUAAAACACHTuJAZ+OuT9YAAAAF&#10;AQAADwAAAGRycy9kb3ducmV2LnhtbE2PQUvDQBCF74L/YRnBm91sxRDTbIoU9VQEW0F622anSWh2&#10;NmS3SfvvHb3Uy4PhDe99r1ieXSdGHELrSYOaJSCQKm9bqjV8bd8eMhAhGrKm84QaLhhgWd7eFCa3&#10;fqJPHDexFhxCITcamhj7XMpQNehMmPkeib2DH5yJfA61tIOZONx1cp4kqXSmJW5oTI+rBqvj5uQ0&#10;vE9menlUr+P6eFhddtunj++1Qq3v71SyABHxHK/P8IvP6FAy096fyAbRaeAh8U/ZS1XGM/Ya5s9Z&#10;CrIs5H/68gdQSwMEFAAAAAgAh07iQGaIQU0BBAAAwRUAAA4AAABkcnMvZTJvRG9jLnhtbO1YTW/j&#10;NhC9F+h/IHRvrA9bkYU4iyKJcwnaYHfbOyNRElGJJEg6dv59ZyjKn3XWu4uku4B9MChxOCLfvHkc&#10;8urDqmvJM9OGSzELooswIEwUsuSingV/fZ7/lgXEWCpK2krBZsELM8GH619/uVqqnMWykW3JNAEn&#10;wuRLNQsaa1U+GpmiYR01F1IxAZ2V1B218KjrUanpErx37SgOw3S0lLpUWhbMGHh723cG3qM+xaGs&#10;Kl6wW1ksOiZs71WzllpYkmm4MsG1m21VscL+WVWGWdLOAlipdf/wEWg/4f/o+ormtaaq4YWfAj1l&#10;Cntr6igX8NG1q1tqKVlofuCq44WWRlb2opDdqF+IQwRWEYV72NxruVBuLXW+rNUadAjUHurf7Lb4&#10;4/lRE14CE6KACNpBxN1nSYzYLFWdg8m9Vp/Uo+4XCM0HWfxjiJAfJQAaoeFo3xKf682wVaU7HA4r&#10;JisH/8safraypICXyTSeJhlEpoC+KJumUeQDVDQQxYNxRXPnR6ZRBqzFYfE0S918aN5/0k1sPZGl&#10;AtKaDZLm+5D81FDFXIAMwuSRjAcgH3lhF5qRpIfS2Qw4mjWINw0VNfvdKCArogm4fgZI7kq+Be7W&#10;WFyD8dE4BdZXwKG50sbeM9kRbMwCDXNwPKbPD8ZiXDcmGD4h57xtXdK0YucFGOIbgHuYHbaeZPkC&#10;qCyU5nWzsxyIAtLrHcKRDOF44IKR8VYsbsSjdiQfpjyQZs3TeDIOCNJqkjqa03wg62SMXY6pO3zb&#10;4OUhbeGrr0HaCrKcBdNJPAF3FAS1AiGDZqfKWWBE7cYa2fISoUfMja6fblpNnimKmvv5KeyYYURv&#10;qWl6O9eFZjRvGC3vREnsi4JsF6DyAU6hY2VAWgabAracpaW83VhazYGp7RHr1wgAzhwx3i/oEJte&#10;zFzQJ7gcJBsk6ZGgk6rl6m/MP4TIy1QagZ9DoYIc7bUmcY5h5UMe7qXTOfYuwd459pBIfew/gpo5&#10;xhK3J3gCoAJ7OhyR0cspaAbuQdPksk+EIeuzEHow9uM0w57jof+Sku6k6k5Gz93Pe98xe3+p6Lhl&#10;CNa3i8ZxeflvwbCrp5WPzo+weaSHXHKUOJlLURoCH5FM43S6TyZftLwxmUJXRQHcZzL9v5XI5SGZ&#10;nIqcTKZ4HHkyheFePZJhz1mZvqKc+cmVCbRjf5dz+nIymZIYS05QpkniDiib2jaLz7vc15XGPzmX&#10;podc6o/eJ5NpHI6BkECm1JXEW1wa+2r5jTe5+fxcMf0Qx20gzoEwwd2Sr+ngAPbl+jtJE3ACZIrT&#10;vnbZ0CmeTHzRlOxd9BwcvN+mAsdaeH0L8r0lrLucgps9d5Dwt5B4dbj97I7Om5vX638B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AYAAFtDb250&#10;ZW50X1R5cGVzXS54bWxQSwECFAAKAAAAAACHTuJAAAAAAAAAAAAAAAAABgAAAAAAAAAAABAAAABS&#10;BQAAX3JlbHMvUEsBAhQAFAAAAAgAh07iQIoUZjzRAAAAlAEAAAsAAAAAAAAAAQAgAAAAdgUAAF9y&#10;ZWxzLy5yZWxzUEsBAhQACgAAAAAAh07iQAAAAAAAAAAAAAAAAAQAAAAAAAAAAAAQAAAAAAAAAGRy&#10;cy9QSwECFAAUAAAACACHTuJAZ+OuT9YAAAAFAQAADwAAAAAAAAABACAAAAAiAAAAZHJzL2Rvd25y&#10;ZXYueG1sUEsBAhQAFAAAAAgAh07iQGaIQU0BBAAAwRUAAA4AAAAAAAAAAQAgAAAAJQEAAGRycy9l&#10;Mm9Eb2MueG1sUEsFBgAAAAAGAAYAWQEAAJgHAAAAAA==&#10;">
                <o:lock v:ext="edit" rotation="t" aspectratio="f"/>
                <v:rect id="Picture 3" o:spid="_x0000_s1026" o:spt="1" style="position:absolute;left:0;top:0;height:2986;width:6188;" filled="f" stroked="f" coordsize="21600,21600" o:gfxdata="UEsDBAoAAAAAAIdO4kAAAAAAAAAAAAAAAAAEAAAAZHJzL1BLAwQUAAAACACHTuJAPOq3OrwAAADa&#10;AAAADwAAAGRycy9kb3ducmV2LnhtbEWPQYvCMBSE74L/ITzBi9hUD7JUUw+CWBZBrLueH82zLTYv&#10;tcm2+u/NwsIeh5n5htlsn6YRPXWutqxgEcUgiAuray4VfF328w8QziNrbCyTghc52Kbj0QYTbQc+&#10;U5/7UgQIuwQVVN63iZSuqMigi2xLHLyb7Qz6ILtS6g6HADeNXMbxShqsOSxU2NKuouKe/xgFQ3Hq&#10;r5fjQZ5m18zyI3vs8u9PpaaTRbwG4enp/8N/7UwrWMLvlXADZPo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zqtzq8AAAA&#10;2gAAAA8AAAAAAAAAAQAgAAAAIgAAAGRycy9kb3ducmV2LnhtbFBLAQIUABQAAAAIAIdO4kAzLwWe&#10;OwAAADkAAAAQAAAAAAAAAAEAIAAAAAsBAABkcnMvc2hhcGV4bWwueG1sUEsFBgAAAAAGAAYAWwEA&#10;ALUDAAAAAA==&#10;">
                  <v:fill on="f" focussize="0,0"/>
                  <v:stroke on="f"/>
                  <v:imagedata o:title=""/>
                  <o:lock v:ext="edit" text="t" aspectratio="t"/>
                </v:rect>
                <v:line id="Line 4" o:spid="_x0000_s1026" o:spt="20" style="position:absolute;left:254;top:2561;height:1;width:5454;" filled="f" stroked="t" coordsize="21600,21600" o:gfxdata="UEsDBAoAAAAAAIdO4kAAAAAAAAAAAAAAAAAEAAAAZHJzL1BLAwQUAAAACACHTuJA5tzD8r4AAADa&#10;AAAADwAAAGRycy9kb3ducmV2LnhtbEWPT2vCQBTE74V+h+UVvNVNFCSkrh4Ei+CfYixFb4/sMwnN&#10;vg27q8Zv3xWEHoeZ+Q0znfemFVdyvrGsIB0mIIhLqxuuFHwflu8ZCB+QNbaWScGdPMxnry9TzLW9&#10;8Z6uRahEhLDPUUEdQpdL6cuaDPqh7Yijd7bOYIjSVVI7vEW4aeUoSSbSYMNxocaOFjWVv8XFKNhv&#10;luvsZ33pS3f6THeHr8326DOlBm9p8gEiUB/+w8/2SisYw+NKvAFy9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tzD8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line id="Line 5" o:spid="_x0000_s1026" o:spt="20" style="position:absolute;left:614;top:0;flip:y;height:2935;width:1;" filled="f" stroked="t" coordsize="21600,21600" o:gfxdata="UEsDBAoAAAAAAIdO4kAAAAAAAAAAAAAAAAAEAAAAZHJzL1BLAwQUAAAACACHTuJAR4CNdr4AAADa&#10;AAAADwAAAGRycy9kb3ducmV2LnhtbEWPQWvCQBSE7wX/w/IEb3WTYotNXT1IC55K1SL09si+JtHs&#10;23T3aay/3hUKPQ4z8w0zW5xdq04UYuPZQD7OQBGX3jZcGfjcvt1PQUVBtth6JgO/FGExH9zNsLC+&#10;5zWdNlKpBOFYoIFapCu0jmVNDuPYd8TJ+/bBoSQZKm0D9gnuWv2QZU/aYcNpocaOljWVh83RGXje&#10;9o/+Ixx2k7z5+bq87qVbvYsxo2GevYASOst/+K+9sgYmcLuSboCeX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R4CNdr4A&#10;AADaAAAADwAAAAAAAAABACAAAAAiAAAAZHJzL2Rvd25yZXYueG1sUEsBAhQAFAAAAAgAh07iQDMv&#10;BZ47AAAAOQAAABAAAAAAAAAAAQAgAAAADQEAAGRycy9zaGFwZXhtbC54bWxQSwUGAAAAAAYABgBb&#10;AQAAtwMAAAAA&#10;">
                  <v:fill on="f" focussize="0,0"/>
                  <v:stroke color="#000000" joinstyle="round" endarrow="block"/>
                  <v:imagedata o:title=""/>
                  <o:lock v:ext="edit" aspectratio="f"/>
                </v:line>
                <v:rect id="Rectangle 6" o:spid="_x0000_s1026" o:spt="1" style="position:absolute;left:793;top:1937;height:468;width:803;" fillcolor="#FFFFFF" filled="t" stroked="t" coordsize="21600,21600" o:gfxdata="UEsDBAoAAAAAAIdO4kAAAAAAAAAAAAAAAAAEAAAAZHJzL1BLAwQUAAAACACHTuJAZ1uaSr0AAADa&#10;AAAADwAAAGRycy9kb3ducmV2LnhtbEWPzW7CMBCE70h9B2sr9QY2IKo2YDi0ApVjCJfetvGSpI3X&#10;Uez8tE+PkSpxHM3MN5rNbrS16Kn1lWMN85kCQZw7U3Gh4Zztpy8gfEA2WDsmDb/kYbd9mGwwMW7g&#10;lPpTKESEsE9QQxlCk0jp85Is+plriKN3ca3FEGVbSNPiEOG2lgulnqXFiuNCiQ29lZT/nDqr4ata&#10;nPEvzQ7Kvu6X4Thm393nu9ZPj3O1BhFoDPfwf/vDaFjB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nW5pK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PR1</w:t>
                        </w:r>
                      </w:p>
                    </w:txbxContent>
                  </v:textbox>
                </v:rect>
                <v:rect id="Rectangle 7" o:spid="_x0000_s1026" o:spt="1" style="position:absolute;left:1605;top:1469;height:468;width:808;" fillcolor="#FFFF00" filled="t" stroked="t" coordsize="21600,21600" o:gfxdata="UEsDBAoAAAAAAIdO4kAAAAAAAAAAAAAAAAAEAAAAZHJzL1BLAwQUAAAACACHTuJAP0yiQbwAAADa&#10;AAAADwAAAGRycy9kb3ducmV2LnhtbEWPS4vCQBCE7wv7H4Ze8LZOFJQYM3rwhV5kjeK5yXQemOkJ&#10;mfH17x1B2GNRVV9R6fxhGnGjztWWFQz6EQji3OqaSwWn4/o3BuE8ssbGMil4koP57PsrxUTbOx/o&#10;lvlSBAi7BBVU3reJlC6vyKDr25Y4eIXtDPogu1LqDu8Bbho5jKKxNFhzWKiwpUVF+SW7GgWbU7u7&#10;ZIvnMN7/jVZZvDxPiv1Zqd7PIJqC8PTw/+FPe6sVjOF9JdwAOXs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9MokG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PR2</w:t>
                        </w:r>
                      </w:p>
                    </w:txbxContent>
                  </v:textbox>
                </v:rect>
                <v:rect id="Rectangle 8" o:spid="_x0000_s1026" o:spt="1" style="position:absolute;left:2415;top:1001;height:468;width:815;" fillcolor="#FFFFFF" filled="t" stroked="t" coordsize="21600,21600" o:gfxdata="UEsDBAoAAAAAAIdO4kAAAAAAAAAAAAAAAAAEAAAAZHJzL1BLAwQUAAAACACHTuJA+MWhpr0AAADa&#10;AAAADwAAAGRycy9kb3ducmV2LnhtbEWPzW7CMBCE70h9B2sr9QY2INE2YDi0ApVjCJfetvGSpI3X&#10;Uez8tE+PkSpxHM3MN5rNbrS16Kn1lWMN85kCQZw7U3Gh4Zztpy8gfEA2WDsmDb/kYbd9mGwwMW7g&#10;lPpTKESEsE9QQxlCk0jp85Is+plriKN3ca3FEGVbSNPiEOG2lgulVtJixXGhxIbeSsp/Tp3V8FUt&#10;zviXZgdlX/fLcByz7+7zXeunx7lagwg0hnv4v/1hNDzD7Uq8AXJ7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4xaGmvQAA&#10;ANoAAAAPAAAAAAAAAAEAIAAAACIAAABkcnMvZG93bnJldi54bWxQSwECFAAUAAAACACHTuJAMy8F&#10;njsAAAA5AAAAEAAAAAAAAAABACAAAAAMAQAAZHJzL3NoYXBleG1sLnhtbFBLBQYAAAAABgAGAFsB&#10;AAC2Aw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PR3</w:t>
                        </w:r>
                      </w:p>
                    </w:txbxContent>
                  </v:textbox>
                </v:rect>
                <v:rect id="Rectangle 9" o:spid="_x0000_s1026" o:spt="1" style="position:absolute;left:3225;top:533;height:468;width:823;" fillcolor="#FFFFFF" filled="t" stroked="t" coordsize="21600,21600" o:gfxdata="UEsDBAoAAAAAAIdO4kAAAAAAAAAAAAAAAAAEAAAAZHJzL1BLAwQUAAAACACHTuJAiVo11LkAAADa&#10;AAAADwAAAGRycy9kb3ducmV2LnhtbEVPPW/CMBDdK/EfrENiKzYgoZLGYQBRlTGEhe2Ir0na+BzF&#10;hoT++npA6vj0vtPtaFtxp943jjUs5goEcelMw5WGc3F4fQPhA7LB1jFpeJCHbTZ5STExbuCc7qdQ&#10;iRjCPkENdQhdIqUva7Lo564jjtyX6y2GCPtKmh6HGG5buVRqLS02HBtq7GhXU/lzulkN12Z5xt+8&#10;+FB2c1iF41h83y57rWfThXoHEWgM/+Kn+9NoiFvjlXgDZPY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laNdS5AAAA2gAA&#10;AA8AAAAAAAAAAQAgAAAAIgAAAGRycy9kb3ducmV2LnhtbFBLAQIUABQAAAAIAIdO4kAzLwWeOwAA&#10;ADkAAAAQAAAAAAAAAAEAIAAAAAgBAABkcnMvc2hhcGV4bWwueG1sUEsFBgAAAAAGAAYAWwEAALID&#10;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PR4</w:t>
                        </w:r>
                      </w:p>
                    </w:txbxContent>
                  </v:textbox>
                </v:rect>
                <v:rect id="Rectangle 10" o:spid="_x0000_s1026" o:spt="1" style="position:absolute;left:4048;top:65;height:468;width:841;" fillcolor="#FFFFFF" filled="t" stroked="t" coordsize="21600,21600" o:gfxdata="UEsDBAoAAAAAAIdO4kAAAAAAAAAAAAAAAAAEAAAAZHJzL1BLAwQUAAAACACHTuJA5haQT7wAAADa&#10;AAAADwAAAGRycy9kb3ducmV2LnhtbEWPwW7CMBBE75X4B2uReis2qVRBiuEACmqPIVy4beMlCcTr&#10;KDYk7dfXlSpxHM3MG81qM9pW3Kn3jWMN85kCQVw603Cl4VhkLwsQPiAbbB2Thm/ysFlPnlaYGjdw&#10;TvdDqESEsE9RQx1Cl0rpy5os+pnriKN3dr3FEGVfSdPjEOG2lYlSb9Jiw3Ghxo62NZXXw81q+GqS&#10;I/7kxV7ZZfYaPsficjvttH6eztU7iEBjeIT/2x9GwxL+rsQbIN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YWkE+8AAAA&#10;2gAAAA8AAAAAAAAAAQAgAAAAIgAAAGRycy9kb3ducmV2LnhtbFBLAQIUABQAAAAIAIdO4kAzLwWe&#10;OwAAADkAAAAQAAAAAAAAAAEAIAAAAAsBAABkcnMvc2hhcGV4bWwueG1sUEsFBgAAAAAGAAYAWwEA&#10;ALUDAAAAAA==&#10;">
                  <v:fill on="t" focussize="0,0"/>
                  <v:stroke color="#000000" joinstyle="miter"/>
                  <v:imagedata o:title=""/>
                  <o:lock v:ext="edit" aspectratio="f"/>
                  <v:textbox>
                    <w:txbxContent>
                      <w:p>
                        <w:pPr>
                          <w:ind w:firstLine="89" w:firstLineChars="49"/>
                          <w:rPr>
                            <w:b/>
                            <w:sz w:val="18"/>
                            <w:szCs w:val="18"/>
                          </w:rPr>
                        </w:pPr>
                        <w:r>
                          <w:rPr>
                            <w:rFonts w:hint="eastAsia"/>
                            <w:b/>
                            <w:sz w:val="18"/>
                            <w:szCs w:val="18"/>
                          </w:rPr>
                          <w:t>PR5</w:t>
                        </w:r>
                      </w:p>
                    </w:txbxContent>
                  </v:textbox>
                </v:rect>
                <v:rect id="Rectangle 11" o:spid="_x0000_s1026" o:spt="1" style="position:absolute;left:3630;top:2600;height:386;width:2558;" fillcolor="#FFFFFF" filled="t" stroked="f" coordsize="21600,21600" o:gfxdata="UEsDBAoAAAAAAIdO4kAAAAAAAAAAAAAAAAAEAAAAZHJzL1BLAwQUAAAACACHTuJAptvIKb0AAADb&#10;AAAADwAAAGRycy9kb3ducmV2LnhtbEWPQWvCQBCF7wX/wzKCt7prtUGjqwdBKLQeqoVeh+yYBLOz&#10;Mbtq+u87B8HbDO/Ne9+sNr1v1I26WAe2MBkbUMRFcDWXFn6Ou9c5qJiQHTaBycIfRdisBy8rzF24&#10;8zfdDqlUEsIxRwtVSm2udSwq8hjHoSUW7RQ6j0nWrtSuw7uE+0a/GZNpjzVLQ4UtbSsqzoert4DZ&#10;zF32p+nX8fOa4aLsze7911g7Gk7MElSiPj3Nj+sPJ/hCL7/IAHr9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28gpvQAA&#10;ANsAAAAPAAAAAAAAAAEAIAAAACIAAABkcnMvZG93bnJldi54bWxQSwECFAAUAAAACACHTuJAMy8F&#10;njsAAAA5AAAAEAAAAAAAAAABACAAAAAMAQAAZHJzL3NoYXBleG1sLnhtbFBLBQYAAAAABgAGAFsB&#10;AAC2AwAAAAA=&#10;">
                  <v:fill on="t" focussize="0,0"/>
                  <v:stroke on="f"/>
                  <v:imagedata o:title=""/>
                  <o:lock v:ext="edit" aspectratio="f"/>
                  <v:textbox>
                    <w:txbxContent>
                      <w:p>
                        <w:pPr>
                          <w:jc w:val="center"/>
                          <w:rPr>
                            <w:sz w:val="18"/>
                            <w:szCs w:val="18"/>
                          </w:rPr>
                        </w:pPr>
                        <w:r>
                          <w:rPr>
                            <w:rFonts w:hint="eastAsia"/>
                            <w:sz w:val="18"/>
                            <w:szCs w:val="18"/>
                          </w:rPr>
                          <w:t>风险程度</w:t>
                        </w:r>
                      </w:p>
                    </w:txbxContent>
                  </v:textbox>
                </v:rect>
                <w10:wrap type="none"/>
                <w10:anchorlock/>
              </v:group>
            </w:pict>
          </mc:Fallback>
        </mc:AlternateContent>
      </w:r>
    </w:p>
    <w:p>
      <w:pPr>
        <w:adjustRightInd w:val="0"/>
        <w:snapToGrid w:val="0"/>
        <w:spacing w:line="300" w:lineRule="auto"/>
        <w:rPr>
          <w:sz w:val="18"/>
          <w:szCs w:val="18"/>
        </w:rPr>
      </w:pPr>
      <w:r>
        <w:rPr>
          <w:rFonts w:hint="eastAsia"/>
          <w:sz w:val="18"/>
          <w:szCs w:val="18"/>
        </w:rPr>
        <w:t>产品风险评级由温州银行根据产品投资对象、实际的风险控制情况、投资运作情况等合理确定。根据温州银行内部风险评级标准，本产品的风险等级为PR2。该评级仅是温州银行内部测评结果，仅供投资者参考，不具有任何法律约束力。</w:t>
      </w:r>
    </w:p>
    <w:p>
      <w:pPr>
        <w:adjustRightInd w:val="0"/>
        <w:snapToGrid w:val="0"/>
        <w:spacing w:line="300" w:lineRule="auto"/>
        <w:rPr>
          <w:b/>
          <w:sz w:val="18"/>
          <w:szCs w:val="18"/>
        </w:rPr>
      </w:pPr>
      <w:r>
        <w:rPr>
          <w:rFonts w:hint="eastAsia"/>
          <w:b/>
          <w:sz w:val="18"/>
          <w:szCs w:val="18"/>
        </w:rPr>
        <w:t>产品概述</w:t>
      </w:r>
    </w:p>
    <w:tbl>
      <w:tblPr>
        <w:tblStyle w:val="9"/>
        <w:tblpPr w:leftFromText="180" w:rightFromText="180" w:vertAnchor="text" w:horzAnchor="page" w:tblpX="1239" w:tblpY="320"/>
        <w:tblOverlap w:val="never"/>
        <w:tblW w:w="9417"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1499"/>
        <w:gridCol w:w="7918"/>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产品名称</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 xml:space="preserve"> “金鹿理财-普惠季享”</w:t>
            </w:r>
            <w:r>
              <w:rPr>
                <w:rFonts w:hint="eastAsia"/>
                <w:sz w:val="18"/>
                <w:szCs w:val="18"/>
                <w:u w:val="single"/>
                <w:lang w:val="en-US" w:eastAsia="zh-CN"/>
              </w:rPr>
              <w:t>6</w:t>
            </w:r>
            <w:r>
              <w:rPr>
                <w:rFonts w:hint="eastAsia"/>
                <w:sz w:val="18"/>
                <w:szCs w:val="18"/>
              </w:rPr>
              <w:t>号开放式净值型银行理财计划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产品编号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default" w:eastAsia="宋体"/>
                <w:sz w:val="18"/>
                <w:szCs w:val="18"/>
                <w:lang w:val="en-US" w:eastAsia="zh-CN"/>
              </w:rPr>
            </w:pPr>
            <w:r>
              <w:rPr>
                <w:rFonts w:hint="eastAsia"/>
                <w:color w:val="000000"/>
                <w:sz w:val="18"/>
                <w:szCs w:val="18"/>
              </w:rPr>
              <w:t>JX00</w:t>
            </w:r>
            <w:r>
              <w:rPr>
                <w:rFonts w:hint="eastAsia"/>
                <w:color w:val="000000"/>
                <w:sz w:val="18"/>
                <w:szCs w:val="18"/>
                <w:lang w:val="en-US" w:eastAsia="zh-CN"/>
              </w:rPr>
              <w:t>06</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产品登记编码</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hint="eastAsia" w:hAnsi="Calibri" w:eastAsia="宋体"/>
                <w:sz w:val="18"/>
                <w:szCs w:val="18"/>
                <w:lang w:eastAsia="zh-CN"/>
              </w:rPr>
            </w:pPr>
            <w:r>
              <w:rPr>
                <w:rFonts w:hint="eastAsia" w:hAnsi="Calibri"/>
                <w:sz w:val="18"/>
                <w:szCs w:val="18"/>
              </w:rPr>
              <w:t>C10922210001</w:t>
            </w:r>
            <w:r>
              <w:rPr>
                <w:rFonts w:hint="eastAsia" w:hAnsi="Calibri"/>
                <w:sz w:val="18"/>
                <w:szCs w:val="18"/>
                <w:lang w:val="en-US" w:eastAsia="zh-CN"/>
              </w:rPr>
              <w:t>49</w:t>
            </w:r>
          </w:p>
          <w:p>
            <w:pPr>
              <w:pStyle w:val="14"/>
              <w:adjustRightInd w:val="0"/>
              <w:snapToGrid w:val="0"/>
              <w:spacing w:before="0" w:beforeAutospacing="0" w:after="0" w:afterAutospacing="0" w:line="288" w:lineRule="auto"/>
              <w:jc w:val="center"/>
              <w:rPr>
                <w:rFonts w:hAnsi="Calibri"/>
                <w:sz w:val="18"/>
                <w:szCs w:val="18"/>
              </w:rPr>
            </w:pPr>
            <w:r>
              <w:rPr>
                <w:rFonts w:hAnsi="Calibri"/>
                <w:sz w:val="18"/>
                <w:szCs w:val="18"/>
              </w:rPr>
              <w:t>(投资者可登录中国理财网</w:t>
            </w:r>
            <w:r>
              <w:rPr>
                <w:rFonts w:hAnsi="Calibri"/>
                <w:sz w:val="18"/>
                <w:szCs w:val="18"/>
                <w:u w:val="single"/>
              </w:rPr>
              <w:t>www.chinawealth.com.cn</w:t>
            </w:r>
            <w:r>
              <w:rPr>
                <w:rFonts w:hAnsi="Calibri"/>
                <w:sz w:val="18"/>
                <w:szCs w:val="18"/>
              </w:rPr>
              <w:t>查询产品信息)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投资类型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募集方式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公募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风险评级</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根据温州银行内部风险评级标准，本产品的风险等级为PR2级（稳健型）：总体风险程度较低，银行不承诺本金保障，产品收益随投资表现变动。</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适合客户</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经温州银行评估为稳健型、平衡型、进取型、激进型的个人投资者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交易币种</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人民币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计划发行量</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发行规模上限50亿份，首个投资运作周期发行规模不超过5亿份。若产品发行规模超出上限，银行有权暂停接受认购</w:t>
            </w:r>
            <w:r>
              <w:rPr>
                <w:rFonts w:hint="eastAsia"/>
                <w:sz w:val="18"/>
                <w:szCs w:val="18"/>
              </w:rPr>
              <w:t>（申购）</w:t>
            </w:r>
            <w:r>
              <w:rPr>
                <w:rFonts w:hint="eastAsia" w:cs="Times New Roman"/>
                <w:sz w:val="18"/>
                <w:szCs w:val="18"/>
              </w:rPr>
              <w:t>申请。（温州银行有权根据产品募集和市场情况调整计划发行量。若认购</w:t>
            </w:r>
            <w:r>
              <w:rPr>
                <w:rFonts w:hint="eastAsia"/>
                <w:sz w:val="18"/>
                <w:szCs w:val="18"/>
              </w:rPr>
              <w:t>（申购）</w:t>
            </w:r>
            <w:r>
              <w:rPr>
                <w:rFonts w:hint="eastAsia" w:cs="Times New Roman"/>
                <w:sz w:val="18"/>
                <w:szCs w:val="18"/>
              </w:rPr>
              <w:t>期内实际募集金额超过计划发行量，则以实际募集金额为准。）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首次认购期</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u w:val="single"/>
              </w:rPr>
            </w:pPr>
            <w:r>
              <w:rPr>
                <w:rFonts w:hint="eastAsia"/>
                <w:sz w:val="18"/>
                <w:szCs w:val="18"/>
                <w:u w:val="single"/>
              </w:rPr>
              <w:t>2021年</w:t>
            </w:r>
            <w:r>
              <w:rPr>
                <w:rFonts w:hint="eastAsia"/>
                <w:sz w:val="18"/>
                <w:szCs w:val="18"/>
                <w:u w:val="single"/>
                <w:lang w:val="en-US" w:eastAsia="zh-CN"/>
              </w:rPr>
              <w:t>6</w:t>
            </w:r>
            <w:r>
              <w:rPr>
                <w:rFonts w:hint="eastAsia"/>
                <w:sz w:val="18"/>
                <w:szCs w:val="18"/>
                <w:u w:val="single"/>
              </w:rPr>
              <w:t>月</w:t>
            </w:r>
            <w:r>
              <w:rPr>
                <w:rFonts w:hint="eastAsia"/>
                <w:sz w:val="18"/>
                <w:szCs w:val="18"/>
                <w:u w:val="single"/>
                <w:lang w:val="en-US" w:eastAsia="zh-CN"/>
              </w:rPr>
              <w:t>29</w:t>
            </w:r>
            <w:r>
              <w:rPr>
                <w:rFonts w:hint="eastAsia"/>
                <w:sz w:val="18"/>
                <w:szCs w:val="18"/>
                <w:u w:val="single"/>
              </w:rPr>
              <w:t>日至2021年</w:t>
            </w:r>
            <w:r>
              <w:rPr>
                <w:rFonts w:hint="eastAsia"/>
                <w:sz w:val="18"/>
                <w:szCs w:val="18"/>
                <w:u w:val="single"/>
                <w:lang w:val="en-US" w:eastAsia="zh-CN"/>
              </w:rPr>
              <w:t>7</w:t>
            </w:r>
            <w:r>
              <w:rPr>
                <w:rFonts w:hint="eastAsia"/>
                <w:sz w:val="18"/>
                <w:szCs w:val="18"/>
                <w:u w:val="single"/>
              </w:rPr>
              <w:t>月</w:t>
            </w:r>
            <w:r>
              <w:rPr>
                <w:rFonts w:hint="eastAsia"/>
                <w:sz w:val="18"/>
                <w:szCs w:val="18"/>
                <w:u w:val="single"/>
                <w:lang w:val="en-US" w:eastAsia="zh-CN"/>
              </w:rPr>
              <w:t>5</w:t>
            </w:r>
            <w:r>
              <w:rPr>
                <w:rFonts w:hint="eastAsia"/>
                <w:sz w:val="18"/>
                <w:szCs w:val="18"/>
                <w:u w:val="single"/>
              </w:rPr>
              <w:t>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业绩</w:t>
            </w:r>
            <w:r>
              <w:rPr>
                <w:rFonts w:cs="Times New Roman"/>
                <w:sz w:val="18"/>
                <w:szCs w:val="18"/>
              </w:rPr>
              <w:t>比较基准</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首个投资运作周期的业绩比较基准为</w:t>
            </w:r>
            <w:r>
              <w:rPr>
                <w:rFonts w:hint="eastAsia" w:cs="Times New Roman"/>
                <w:color w:val="000000"/>
                <w:sz w:val="18"/>
                <w:szCs w:val="18"/>
              </w:rPr>
              <w:t>4.</w:t>
            </w:r>
            <w:r>
              <w:rPr>
                <w:rFonts w:hint="eastAsia" w:cs="Times New Roman"/>
                <w:color w:val="000000"/>
                <w:sz w:val="18"/>
                <w:szCs w:val="18"/>
                <w:lang w:val="en-US" w:eastAsia="zh-CN"/>
              </w:rPr>
              <w:t>1</w:t>
            </w:r>
            <w:r>
              <w:rPr>
                <w:rFonts w:hint="eastAsia" w:cs="Times New Roman"/>
                <w:color w:val="000000"/>
                <w:sz w:val="18"/>
                <w:szCs w:val="18"/>
              </w:rPr>
              <w:t>5%</w:t>
            </w:r>
            <w:r>
              <w:rPr>
                <w:rFonts w:hint="eastAsia" w:cs="Times New Roman"/>
                <w:sz w:val="18"/>
                <w:szCs w:val="18"/>
              </w:rPr>
              <w:t>（年化）</w:t>
            </w:r>
            <w:r>
              <w:rPr>
                <w:rFonts w:cs="Times New Roman"/>
                <w:sz w:val="18"/>
                <w:szCs w:val="18"/>
              </w:rPr>
              <w:t>。</w:t>
            </w:r>
            <w:r>
              <w:rPr>
                <w:rFonts w:hint="eastAsia" w:cs="Times New Roman"/>
                <w:sz w:val="18"/>
                <w:szCs w:val="18"/>
              </w:rPr>
              <w:t>温州</w:t>
            </w:r>
            <w:r>
              <w:rPr>
                <w:rFonts w:cs="Times New Roman"/>
                <w:sz w:val="18"/>
                <w:szCs w:val="18"/>
              </w:rPr>
              <w:t>银行有权在</w:t>
            </w:r>
            <w:r>
              <w:rPr>
                <w:rFonts w:hint="eastAsia" w:cs="Times New Roman"/>
                <w:sz w:val="18"/>
                <w:szCs w:val="18"/>
              </w:rPr>
              <w:t>每个</w:t>
            </w:r>
            <w:r>
              <w:rPr>
                <w:rFonts w:cs="Times New Roman"/>
                <w:sz w:val="18"/>
                <w:szCs w:val="18"/>
              </w:rPr>
              <w:t>开放</w:t>
            </w:r>
            <w:r>
              <w:rPr>
                <w:rFonts w:hint="eastAsia" w:cs="Times New Roman"/>
                <w:sz w:val="18"/>
                <w:szCs w:val="18"/>
              </w:rPr>
              <w:t>期</w:t>
            </w:r>
            <w:r>
              <w:rPr>
                <w:rFonts w:cs="Times New Roman"/>
                <w:sz w:val="18"/>
                <w:szCs w:val="18"/>
              </w:rPr>
              <w:t>前</w:t>
            </w:r>
            <w:r>
              <w:rPr>
                <w:rFonts w:hint="eastAsia" w:cs="Times New Roman"/>
                <w:sz w:val="18"/>
                <w:szCs w:val="18"/>
              </w:rPr>
              <w:t>，根据市场情况进行调整，该</w:t>
            </w:r>
            <w:r>
              <w:rPr>
                <w:rFonts w:cs="Times New Roman"/>
                <w:sz w:val="18"/>
                <w:szCs w:val="18"/>
              </w:rPr>
              <w:t>调整将通过</w:t>
            </w:r>
            <w:r>
              <w:rPr>
                <w:rFonts w:hint="eastAsia" w:cs="Times New Roman"/>
                <w:sz w:val="18"/>
                <w:szCs w:val="18"/>
              </w:rPr>
              <w:t>温州银行官方网站或电子银行等信息平台进行</w:t>
            </w:r>
            <w:r>
              <w:rPr>
                <w:rFonts w:cs="Times New Roman"/>
                <w:sz w:val="18"/>
                <w:szCs w:val="18"/>
              </w:rPr>
              <w:t>信息</w:t>
            </w:r>
            <w:r>
              <w:rPr>
                <w:rFonts w:hint="eastAsia" w:cs="Times New Roman"/>
                <w:sz w:val="18"/>
                <w:szCs w:val="18"/>
              </w:rPr>
              <w:t>披露</w:t>
            </w:r>
            <w:r>
              <w:rPr>
                <w:rFonts w:cs="Times New Roman"/>
                <w:sz w:val="18"/>
                <w:szCs w:val="18"/>
              </w:rPr>
              <w:t>。</w:t>
            </w:r>
          </w:p>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本产品为净值型理财产品，其业绩表现将随市场波动具有不确定性。业绩比较基准并不代表实际收益率，仅作为浮动管理费计提参照使用。业绩比较基准测算依据：管理人</w:t>
            </w:r>
            <w:r>
              <w:rPr>
                <w:rFonts w:cs="Times New Roman"/>
                <w:sz w:val="18"/>
                <w:szCs w:val="18"/>
              </w:rPr>
              <w:t>参考过往投资经验，依据近期货币市场工具、债券等资产</w:t>
            </w:r>
            <w:r>
              <w:rPr>
                <w:rFonts w:hint="eastAsia" w:cs="Times New Roman"/>
                <w:sz w:val="18"/>
                <w:szCs w:val="18"/>
              </w:rPr>
              <w:t>投资</w:t>
            </w:r>
            <w:r>
              <w:rPr>
                <w:rFonts w:cs="Times New Roman"/>
                <w:sz w:val="18"/>
                <w:szCs w:val="18"/>
              </w:rPr>
              <w:t>收益水平，在产品说明书约定的投资范围和投资比例内</w:t>
            </w:r>
            <w:r>
              <w:rPr>
                <w:rFonts w:hint="eastAsia" w:cs="Times New Roman"/>
                <w:sz w:val="18"/>
                <w:szCs w:val="18"/>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产品成立</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6</w:t>
            </w:r>
            <w:r>
              <w:rPr>
                <w:rFonts w:hint="eastAsia"/>
                <w:color w:val="000000"/>
                <w:sz w:val="18"/>
                <w:szCs w:val="18"/>
              </w:rPr>
              <w:t>日</w:t>
            </w:r>
            <w:r>
              <w:rPr>
                <w:rFonts w:hint="eastAsia"/>
                <w:sz w:val="18"/>
                <w:szCs w:val="18"/>
              </w:rPr>
              <w:t>。温州银行有权根据实际募集情况选择产品提前成立，若温州银行采取以上措施，温州银行将就产品相应要素的调整事宜于提前成立日前的一个工作日在温州银行网站予以公告。</w:t>
            </w:r>
            <w:r>
              <w:rPr>
                <w:rFonts w:hint="eastAsia" w:cs="Times New Roman"/>
                <w:sz w:val="18"/>
                <w:szCs w:val="18"/>
              </w:rPr>
              <w:t>认购期结束，如出现国家金融政策重大调整、市场发生剧烈波动等不利情形时，温州银行经合理判断有权延长认购期或宣布产品不成立。延长认购期时，理财成立日、理财期限等需要相应调整。若温州银行采取以上措施，温州银行将就相关调整事宜于认购期结束后第一个工作日在温州银行网站予以公告。产品不成立时，理财本金将不会于理财成立日从客户资金账户中转出，客户可自由支取，认购期利息按活期存款利率计算。</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理财期限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sz w:val="18"/>
                <w:szCs w:val="18"/>
              </w:rPr>
            </w:pPr>
            <w:r>
              <w:rPr>
                <w:rFonts w:ascii="宋体" w:hAnsi="宋体"/>
                <w:kern w:val="0"/>
                <w:sz w:val="18"/>
              </w:rPr>
              <w:t>本理财</w:t>
            </w:r>
            <w:r>
              <w:rPr>
                <w:rFonts w:hint="eastAsia" w:ascii="宋体" w:hAnsi="宋体"/>
                <w:kern w:val="0"/>
                <w:sz w:val="18"/>
              </w:rPr>
              <w:t>计划</w:t>
            </w:r>
            <w:r>
              <w:rPr>
                <w:rFonts w:ascii="宋体" w:hAnsi="宋体"/>
                <w:kern w:val="0"/>
                <w:sz w:val="18"/>
              </w:rPr>
              <w:t>存续期为</w:t>
            </w:r>
            <w:r>
              <w:rPr>
                <w:rFonts w:hint="eastAsia" w:ascii="宋体" w:hAnsi="宋体"/>
                <w:kern w:val="0"/>
                <w:sz w:val="18"/>
              </w:rPr>
              <w:t>10</w:t>
            </w:r>
            <w:r>
              <w:rPr>
                <w:rFonts w:ascii="宋体" w:hAnsi="宋体"/>
                <w:kern w:val="0"/>
                <w:sz w:val="18"/>
              </w:rPr>
              <w:t>年。存续期指本理财产品成立日至到期日的理财期间。</w:t>
            </w:r>
            <w:r>
              <w:rPr>
                <w:rFonts w:hint="eastAsia" w:ascii="宋体" w:hAnsi="宋体"/>
                <w:kern w:val="0"/>
                <w:sz w:val="18"/>
              </w:rPr>
              <w:t>温州</w:t>
            </w:r>
            <w:r>
              <w:rPr>
                <w:rFonts w:ascii="宋体" w:hAnsi="宋体"/>
                <w:kern w:val="0"/>
                <w:sz w:val="18"/>
              </w:rPr>
              <w:t>银行有权在存续期届满前一个月内选择展期，并通过</w:t>
            </w:r>
            <w:r>
              <w:rPr>
                <w:rFonts w:hint="eastAsia" w:ascii="宋体" w:hAnsi="宋体"/>
                <w:kern w:val="0"/>
                <w:sz w:val="18"/>
              </w:rPr>
              <w:t>温州银行网站</w:t>
            </w:r>
            <w:r>
              <w:rPr>
                <w:rFonts w:ascii="宋体" w:hAnsi="宋体"/>
                <w:kern w:val="0"/>
                <w:sz w:val="18"/>
              </w:rPr>
              <w:t>予以公告。若</w:t>
            </w:r>
            <w:r>
              <w:rPr>
                <w:rFonts w:hint="eastAsia" w:ascii="宋体" w:hAnsi="宋体"/>
                <w:kern w:val="0"/>
                <w:sz w:val="18"/>
              </w:rPr>
              <w:t>温州</w:t>
            </w:r>
            <w:r>
              <w:rPr>
                <w:rFonts w:ascii="宋体" w:hAnsi="宋体"/>
                <w:kern w:val="0"/>
                <w:sz w:val="18"/>
              </w:rPr>
              <w:t>银行未选择展期，则本理财产品</w:t>
            </w:r>
            <w:r>
              <w:rPr>
                <w:rFonts w:hint="eastAsia" w:ascii="宋体" w:hAnsi="宋体"/>
                <w:kern w:val="0"/>
                <w:sz w:val="18"/>
              </w:rPr>
              <w:t>在</w:t>
            </w:r>
            <w:r>
              <w:rPr>
                <w:rFonts w:ascii="宋体" w:hAnsi="宋体"/>
                <w:kern w:val="0"/>
                <w:sz w:val="18"/>
              </w:rPr>
              <w:t>存续期届满</w:t>
            </w:r>
            <w:r>
              <w:rPr>
                <w:rFonts w:hint="eastAsia" w:ascii="宋体" w:hAnsi="宋体"/>
                <w:kern w:val="0"/>
                <w:sz w:val="18"/>
              </w:rPr>
              <w:t>后</w:t>
            </w:r>
            <w:r>
              <w:rPr>
                <w:rFonts w:ascii="宋体" w:hAnsi="宋体"/>
                <w:kern w:val="0"/>
                <w:sz w:val="18"/>
              </w:rPr>
              <w:t>自动终止。</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投资运作周期</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rPr>
                <w:rFonts w:ascii="宋体" w:hAnsi="宋体"/>
                <w:sz w:val="24"/>
              </w:rPr>
            </w:pPr>
            <w:r>
              <w:rPr>
                <w:rFonts w:ascii="宋体" w:hAnsi="宋体"/>
                <w:sz w:val="18"/>
              </w:rPr>
              <w:t>1．本理财产品成立后，按投资周期开放</w:t>
            </w:r>
            <w:r>
              <w:rPr>
                <w:rFonts w:hint="eastAsia" w:ascii="宋体" w:hAnsi="宋体"/>
                <w:sz w:val="18"/>
              </w:rPr>
              <w:t>预约认购（申购）</w:t>
            </w:r>
            <w:r>
              <w:rPr>
                <w:rFonts w:ascii="宋体" w:hAnsi="宋体"/>
                <w:sz w:val="18"/>
              </w:rPr>
              <w:t>、预约赎回和</w:t>
            </w:r>
            <w:r>
              <w:rPr>
                <w:rFonts w:hint="eastAsia" w:ascii="宋体" w:hAnsi="宋体"/>
                <w:sz w:val="18"/>
              </w:rPr>
              <w:t>理财分红</w:t>
            </w:r>
            <w:r>
              <w:rPr>
                <w:rFonts w:ascii="宋体" w:hAnsi="宋体"/>
                <w:sz w:val="18"/>
              </w:rPr>
              <w:t>。每一个投资</w:t>
            </w:r>
            <w:r>
              <w:rPr>
                <w:rFonts w:hint="eastAsia" w:ascii="宋体" w:hAnsi="宋体"/>
                <w:sz w:val="18"/>
              </w:rPr>
              <w:t>运作</w:t>
            </w:r>
            <w:r>
              <w:rPr>
                <w:rFonts w:ascii="宋体" w:hAnsi="宋体"/>
                <w:sz w:val="18"/>
              </w:rPr>
              <w:t>周期</w:t>
            </w:r>
            <w:r>
              <w:rPr>
                <w:rFonts w:ascii="宋体" w:hAnsi="宋体"/>
                <w:kern w:val="0"/>
                <w:sz w:val="18"/>
              </w:rPr>
              <w:t>为该</w:t>
            </w:r>
            <w:r>
              <w:rPr>
                <w:rFonts w:ascii="宋体" w:hAnsi="宋体"/>
                <w:sz w:val="18"/>
              </w:rPr>
              <w:t>投资周期起始日</w:t>
            </w:r>
            <w:r>
              <w:rPr>
                <w:rFonts w:ascii="宋体" w:hAnsi="宋体"/>
                <w:kern w:val="0"/>
                <w:sz w:val="18"/>
              </w:rPr>
              <w:t>至该</w:t>
            </w:r>
            <w:r>
              <w:rPr>
                <w:rFonts w:ascii="宋体" w:hAnsi="宋体"/>
                <w:sz w:val="18"/>
              </w:rPr>
              <w:t>投资周期</w:t>
            </w:r>
            <w:r>
              <w:rPr>
                <w:rFonts w:ascii="宋体" w:hAnsi="宋体"/>
                <w:kern w:val="0"/>
                <w:sz w:val="18"/>
              </w:rPr>
              <w:t>终止日的理财期间</w:t>
            </w:r>
            <w:r>
              <w:rPr>
                <w:rFonts w:hint="eastAsia"/>
                <w:sz w:val="18"/>
                <w:szCs w:val="18"/>
              </w:rPr>
              <w:t>。</w:t>
            </w:r>
          </w:p>
          <w:p>
            <w:pPr>
              <w:autoSpaceDN w:val="0"/>
              <w:rPr>
                <w:rFonts w:ascii="宋体" w:hAnsi="宋体"/>
                <w:sz w:val="24"/>
              </w:rPr>
            </w:pPr>
            <w:r>
              <w:rPr>
                <w:rFonts w:ascii="宋体" w:hAnsi="宋体"/>
                <w:sz w:val="18"/>
              </w:rPr>
              <w:t>2．本理财产品一个投资周期为</w:t>
            </w:r>
            <w:r>
              <w:rPr>
                <w:rFonts w:hint="eastAsia" w:ascii="宋体" w:hAnsi="宋体"/>
                <w:sz w:val="18"/>
                <w:lang w:eastAsia="zh-CN"/>
              </w:rPr>
              <w:t>【94】</w:t>
            </w:r>
            <w:r>
              <w:rPr>
                <w:rFonts w:ascii="宋体" w:hAnsi="宋体"/>
                <w:sz w:val="18"/>
              </w:rPr>
              <w:t>天，</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【94】</w:t>
            </w:r>
            <w:r>
              <w:rPr>
                <w:rFonts w:ascii="宋体" w:hAnsi="宋体"/>
                <w:sz w:val="18"/>
              </w:rPr>
              <w:t>天。投资周期终止日如遇非工作日则</w:t>
            </w:r>
            <w:r>
              <w:rPr>
                <w:rFonts w:hint="eastAsia" w:ascii="宋体" w:hAnsi="宋体"/>
                <w:sz w:val="18"/>
              </w:rPr>
              <w:t>顺延至下一个工作日</w:t>
            </w:r>
            <w:r>
              <w:rPr>
                <w:rFonts w:ascii="宋体" w:hAnsi="宋体"/>
                <w:kern w:val="0"/>
                <w:sz w:val="18"/>
              </w:rPr>
              <w:t>。</w:t>
            </w:r>
            <w:r>
              <w:rPr>
                <w:rFonts w:hint="eastAsia" w:ascii="宋体" w:hAnsi="宋体"/>
                <w:kern w:val="0"/>
                <w:sz w:val="18"/>
              </w:rPr>
              <w:t>每个投资运作周期的相关产品要素及具体日期请参照</w:t>
            </w:r>
            <w:r>
              <w:rPr>
                <w:rFonts w:hint="eastAsia"/>
                <w:sz w:val="18"/>
                <w:szCs w:val="18"/>
              </w:rPr>
              <w:t>《温州银行“金鹿理财-普惠</w:t>
            </w:r>
            <w:r>
              <w:rPr>
                <w:rFonts w:hint="eastAsia"/>
                <w:sz w:val="18"/>
                <w:szCs w:val="18"/>
                <w:lang w:eastAsia="zh-CN"/>
              </w:rPr>
              <w:t>季享”6号</w:t>
            </w:r>
            <w:r>
              <w:rPr>
                <w:rFonts w:hint="eastAsia"/>
                <w:sz w:val="18"/>
                <w:szCs w:val="18"/>
              </w:rPr>
              <w:t>开放式净值型（第i期）银行理财计划开放认购（申购）申请书》</w:t>
            </w:r>
            <w:r>
              <w:rPr>
                <w:rFonts w:ascii="宋体" w:hAnsi="宋体"/>
                <w:sz w:val="18"/>
              </w:rPr>
              <w:t>所载明的</w:t>
            </w:r>
            <w:r>
              <w:rPr>
                <w:rFonts w:hint="eastAsia" w:ascii="宋体" w:hAnsi="宋体"/>
                <w:sz w:val="18"/>
              </w:rPr>
              <w:t>产品要素</w:t>
            </w:r>
            <w:r>
              <w:rPr>
                <w:rFonts w:ascii="宋体" w:hAnsi="宋体"/>
                <w:sz w:val="18"/>
              </w:rPr>
              <w:t>为准。</w:t>
            </w:r>
            <w:r>
              <w:rPr>
                <w:rFonts w:hint="eastAsia" w:ascii="宋体" w:hAnsi="宋体"/>
                <w:sz w:val="18"/>
              </w:rPr>
              <w:t>温州</w:t>
            </w:r>
            <w:r>
              <w:rPr>
                <w:rFonts w:ascii="宋体" w:hAnsi="宋体"/>
                <w:sz w:val="18"/>
              </w:rPr>
              <w:t>银行有权</w:t>
            </w:r>
            <w:r>
              <w:rPr>
                <w:rFonts w:hint="eastAsia" w:ascii="宋体" w:hAnsi="宋体"/>
                <w:sz w:val="18"/>
              </w:rPr>
              <w:t>根据市场情况</w:t>
            </w:r>
            <w:r>
              <w:rPr>
                <w:rFonts w:ascii="宋体" w:hAnsi="宋体"/>
                <w:sz w:val="18"/>
              </w:rPr>
              <w:t>调整投资周期，调整后的投资周期</w:t>
            </w:r>
            <w:r>
              <w:rPr>
                <w:rFonts w:hint="eastAsia" w:ascii="宋体" w:hAnsi="宋体"/>
                <w:sz w:val="18"/>
              </w:rPr>
              <w:t>等相关事宜将在温州</w:t>
            </w:r>
            <w:r>
              <w:rPr>
                <w:rFonts w:ascii="宋体" w:hAnsi="宋体"/>
                <w:sz w:val="18"/>
              </w:rPr>
              <w:t>银行网站</w:t>
            </w:r>
            <w:r>
              <w:rPr>
                <w:rFonts w:hint="eastAsia" w:ascii="宋体" w:hAnsi="宋体"/>
                <w:sz w:val="18"/>
              </w:rPr>
              <w:t>予以</w:t>
            </w:r>
            <w:r>
              <w:rPr>
                <w:rFonts w:ascii="宋体" w:hAnsi="宋体"/>
                <w:sz w:val="18"/>
              </w:rPr>
              <w:t>公告。</w:t>
            </w:r>
          </w:p>
          <w:p>
            <w:pPr>
              <w:autoSpaceDN w:val="0"/>
              <w:rPr>
                <w:rFonts w:ascii="宋体" w:hAnsi="宋体"/>
                <w:sz w:val="24"/>
              </w:rPr>
            </w:pPr>
            <w:r>
              <w:rPr>
                <w:rFonts w:ascii="宋体" w:hAnsi="宋体"/>
                <w:sz w:val="18"/>
              </w:rPr>
              <w:t>3. 本理财产品按投资周期开放申购，</w:t>
            </w:r>
            <w:r>
              <w:rPr>
                <w:rFonts w:hint="eastAsia" w:ascii="宋体" w:hAnsi="宋体"/>
                <w:sz w:val="18"/>
              </w:rPr>
              <w:t>投资者</w:t>
            </w:r>
            <w:r>
              <w:rPr>
                <w:rFonts w:ascii="宋体" w:hAnsi="宋体"/>
                <w:sz w:val="18"/>
              </w:rPr>
              <w:t>可以在一个投资周期的预约</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期内提出</w:t>
            </w:r>
            <w:r>
              <w:rPr>
                <w:rFonts w:hint="eastAsia" w:ascii="宋体" w:hAnsi="宋体"/>
                <w:sz w:val="18"/>
              </w:rPr>
              <w:t>认购（</w:t>
            </w:r>
            <w:r>
              <w:rPr>
                <w:rFonts w:ascii="宋体" w:hAnsi="宋体"/>
                <w:sz w:val="18"/>
              </w:rPr>
              <w:t>申购</w:t>
            </w:r>
            <w:r>
              <w:rPr>
                <w:rFonts w:hint="eastAsia" w:ascii="宋体" w:hAnsi="宋体"/>
                <w:sz w:val="18"/>
              </w:rPr>
              <w:t>）</w:t>
            </w:r>
            <w:r>
              <w:rPr>
                <w:rFonts w:ascii="宋体" w:hAnsi="宋体"/>
                <w:sz w:val="18"/>
              </w:rPr>
              <w:t>申请。本理财产品按投资周期开放赎回，</w:t>
            </w:r>
            <w:r>
              <w:rPr>
                <w:rFonts w:hint="eastAsia" w:ascii="宋体" w:hAnsi="宋体"/>
                <w:sz w:val="18"/>
              </w:rPr>
              <w:t>投资者</w:t>
            </w:r>
            <w:r>
              <w:rPr>
                <w:rFonts w:ascii="宋体" w:hAnsi="宋体"/>
                <w:sz w:val="18"/>
              </w:rPr>
              <w:t>可以在一个投资周期的预约赎回期内提出赎回申请，赎回确认日为</w:t>
            </w:r>
            <w:r>
              <w:rPr>
                <w:rFonts w:hint="eastAsia" w:ascii="宋体" w:hAnsi="宋体"/>
                <w:sz w:val="18"/>
              </w:rPr>
              <w:t>该</w:t>
            </w:r>
            <w:r>
              <w:rPr>
                <w:rFonts w:ascii="宋体" w:hAnsi="宋体"/>
                <w:sz w:val="18"/>
              </w:rPr>
              <w:t>投资周期的投资周期终止日，</w:t>
            </w:r>
            <w:r>
              <w:rPr>
                <w:rFonts w:hint="eastAsia" w:ascii="宋体" w:hAnsi="宋体"/>
                <w:sz w:val="18"/>
              </w:rPr>
              <w:t>温州</w:t>
            </w:r>
            <w:r>
              <w:rPr>
                <w:rFonts w:ascii="宋体" w:hAnsi="宋体"/>
                <w:sz w:val="18"/>
              </w:rPr>
              <w:t>银行</w:t>
            </w:r>
            <w:r>
              <w:rPr>
                <w:rFonts w:hint="eastAsia" w:ascii="宋体" w:hAnsi="宋体"/>
                <w:sz w:val="18"/>
              </w:rPr>
              <w:t>根据投资者的赎回申请</w:t>
            </w:r>
            <w:r>
              <w:rPr>
                <w:rFonts w:ascii="宋体" w:hAnsi="宋体"/>
                <w:sz w:val="18"/>
              </w:rPr>
              <w:t>返还客户赎回本金和当期投资周期理财</w:t>
            </w:r>
            <w:r>
              <w:rPr>
                <w:rFonts w:hint="eastAsia" w:ascii="宋体" w:hAnsi="宋体"/>
                <w:sz w:val="18"/>
              </w:rPr>
              <w:t>损益</w:t>
            </w:r>
            <w:r>
              <w:rPr>
                <w:rFonts w:ascii="宋体" w:hAnsi="宋体"/>
                <w:sz w:val="18"/>
              </w:rPr>
              <w:t>。如果</w:t>
            </w:r>
            <w:r>
              <w:rPr>
                <w:rFonts w:hint="eastAsia" w:ascii="宋体" w:hAnsi="宋体"/>
                <w:sz w:val="18"/>
              </w:rPr>
              <w:t>投资者</w:t>
            </w:r>
            <w:r>
              <w:rPr>
                <w:rFonts w:ascii="宋体" w:hAnsi="宋体"/>
                <w:sz w:val="18"/>
              </w:rPr>
              <w:t>在</w:t>
            </w:r>
            <w:r>
              <w:rPr>
                <w:rFonts w:hint="eastAsia" w:ascii="宋体" w:hAnsi="宋体"/>
                <w:sz w:val="18"/>
              </w:rPr>
              <w:t>认购（申购）资金对应的</w:t>
            </w:r>
            <w:r>
              <w:rPr>
                <w:rFonts w:ascii="宋体" w:hAnsi="宋体"/>
                <w:sz w:val="18"/>
              </w:rPr>
              <w:t>投资周期</w:t>
            </w:r>
            <w:r>
              <w:rPr>
                <w:rFonts w:hint="eastAsia" w:ascii="宋体" w:hAnsi="宋体"/>
                <w:sz w:val="18"/>
              </w:rPr>
              <w:t>内</w:t>
            </w:r>
            <w:r>
              <w:rPr>
                <w:rFonts w:ascii="宋体" w:hAnsi="宋体"/>
                <w:sz w:val="18"/>
              </w:rPr>
              <w:t>的</w:t>
            </w:r>
            <w:r>
              <w:rPr>
                <w:rFonts w:hint="eastAsia" w:ascii="宋体" w:hAnsi="宋体"/>
                <w:sz w:val="18"/>
              </w:rPr>
              <w:t>预约</w:t>
            </w:r>
            <w:r>
              <w:rPr>
                <w:rFonts w:ascii="宋体" w:hAnsi="宋体"/>
                <w:sz w:val="18"/>
              </w:rPr>
              <w:t>赎回期内未提出赎回申请，则该投资周期终止后，客户的理财资金</w:t>
            </w:r>
            <w:r>
              <w:rPr>
                <w:rFonts w:hint="eastAsia" w:ascii="宋体" w:hAnsi="宋体"/>
                <w:sz w:val="18"/>
              </w:rPr>
              <w:t>将</w:t>
            </w:r>
            <w:r>
              <w:rPr>
                <w:rFonts w:ascii="宋体" w:hAnsi="宋体"/>
                <w:sz w:val="18"/>
              </w:rPr>
              <w:t>继续进入下一个投资周期进行理财运作，</w:t>
            </w:r>
            <w:r>
              <w:rPr>
                <w:rFonts w:hint="eastAsia" w:ascii="宋体" w:hAnsi="宋体"/>
                <w:sz w:val="18"/>
              </w:rPr>
              <w:t>温州</w:t>
            </w:r>
            <w:r>
              <w:rPr>
                <w:rFonts w:ascii="宋体" w:hAnsi="宋体"/>
                <w:sz w:val="18"/>
              </w:rPr>
              <w:t>银行</w:t>
            </w:r>
            <w:r>
              <w:rPr>
                <w:rFonts w:hint="eastAsia" w:ascii="宋体" w:hAnsi="宋体"/>
                <w:sz w:val="18"/>
              </w:rPr>
              <w:t>在对应的</w:t>
            </w:r>
            <w:r>
              <w:rPr>
                <w:rFonts w:ascii="宋体" w:hAnsi="宋体"/>
                <w:sz w:val="18"/>
              </w:rPr>
              <w:t>投资周期终止日，</w:t>
            </w:r>
            <w:r>
              <w:rPr>
                <w:rFonts w:hint="eastAsia" w:ascii="宋体" w:hAnsi="宋体"/>
                <w:sz w:val="18"/>
              </w:rPr>
              <w:t>进行</w:t>
            </w:r>
            <w:r>
              <w:rPr>
                <w:rFonts w:ascii="宋体" w:hAnsi="宋体"/>
                <w:sz w:val="18"/>
              </w:rPr>
              <w:t>该投资周期理财收益</w:t>
            </w:r>
            <w:r>
              <w:rPr>
                <w:rFonts w:hint="eastAsia" w:ascii="宋体" w:hAnsi="宋体"/>
                <w:sz w:val="18"/>
              </w:rPr>
              <w:t>清算</w:t>
            </w:r>
            <w:r>
              <w:rPr>
                <w:rFonts w:ascii="宋体" w:hAnsi="宋体"/>
                <w:sz w:val="18"/>
              </w:rPr>
              <w:t>。</w:t>
            </w:r>
          </w:p>
          <w:p>
            <w:pPr>
              <w:autoSpaceDN w:val="0"/>
              <w:rPr>
                <w:sz w:val="18"/>
                <w:szCs w:val="18"/>
              </w:rPr>
            </w:pPr>
            <w:r>
              <w:rPr>
                <w:rFonts w:hint="eastAsia" w:ascii="宋体" w:hAnsi="宋体"/>
                <w:sz w:val="18"/>
              </w:rPr>
              <w:t>4</w:t>
            </w:r>
            <w:r>
              <w:rPr>
                <w:rFonts w:ascii="宋体" w:hAnsi="宋体"/>
                <w:sz w:val="18"/>
              </w:rPr>
              <w:t>．当期投资周期的投资周期终止日、赎回</w:t>
            </w:r>
            <w:r>
              <w:rPr>
                <w:rFonts w:hint="eastAsia" w:ascii="宋体" w:hAnsi="宋体"/>
                <w:sz w:val="18"/>
              </w:rPr>
              <w:t>清算</w:t>
            </w:r>
            <w:r>
              <w:rPr>
                <w:rFonts w:ascii="宋体" w:hAnsi="宋体"/>
                <w:sz w:val="18"/>
              </w:rPr>
              <w:t>日和下一个投资周期的投资周期起始日为同一天。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认购（申购）起点</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ascii="宋体" w:hAnsi="宋体"/>
                <w:sz w:val="18"/>
              </w:rPr>
              <w:t>1</w:t>
            </w:r>
            <w:r>
              <w:rPr>
                <w:rFonts w:hint="eastAsia" w:ascii="宋体" w:hAnsi="宋体"/>
                <w:sz w:val="18"/>
              </w:rPr>
              <w:t>元人民币为</w:t>
            </w:r>
            <w:r>
              <w:rPr>
                <w:rFonts w:ascii="宋体" w:hAnsi="宋体"/>
                <w:sz w:val="18"/>
              </w:rPr>
              <w:t>1</w:t>
            </w:r>
            <w:r>
              <w:rPr>
                <w:rFonts w:hint="eastAsia" w:ascii="宋体" w:hAnsi="宋体"/>
                <w:sz w:val="18"/>
              </w:rPr>
              <w:t>份，首次投资最低份额为</w:t>
            </w:r>
            <w:r>
              <w:rPr>
                <w:rFonts w:ascii="宋体" w:hAnsi="宋体"/>
                <w:sz w:val="18"/>
              </w:rPr>
              <w:t>1</w:t>
            </w:r>
            <w:r>
              <w:rPr>
                <w:rFonts w:hint="eastAsia" w:ascii="宋体" w:hAnsi="宋体"/>
                <w:sz w:val="18"/>
              </w:rPr>
              <w:t>万份；超出首次投资最低份额部分，须为</w:t>
            </w:r>
            <w:r>
              <w:rPr>
                <w:rFonts w:ascii="宋体" w:hAnsi="宋体"/>
                <w:sz w:val="18"/>
              </w:rPr>
              <w:t>1</w:t>
            </w:r>
            <w:r>
              <w:rPr>
                <w:rFonts w:hint="eastAsia" w:ascii="宋体" w:hAnsi="宋体"/>
                <w:sz w:val="18"/>
              </w:rPr>
              <w:t>千份或</w:t>
            </w:r>
            <w:r>
              <w:rPr>
                <w:rFonts w:ascii="宋体" w:hAnsi="宋体"/>
                <w:sz w:val="18"/>
              </w:rPr>
              <w:t>1</w:t>
            </w:r>
            <w:r>
              <w:rPr>
                <w:rFonts w:hint="eastAsia" w:ascii="宋体" w:hAnsi="宋体"/>
                <w:sz w:val="18"/>
              </w:rPr>
              <w:t>千份的整数倍。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autoSpaceDN w:val="0"/>
              <w:jc w:val="center"/>
              <w:rPr>
                <w:rFonts w:ascii="宋体" w:hAnsi="宋体"/>
                <w:sz w:val="18"/>
              </w:rPr>
            </w:pPr>
            <w:r>
              <w:rPr>
                <w:rFonts w:hint="eastAsia" w:ascii="宋体" w:hAnsi="宋体"/>
                <w:sz w:val="18"/>
              </w:rPr>
              <w:t>认购（申购）上限</w:t>
            </w:r>
          </w:p>
        </w:tc>
        <w:tc>
          <w:tcPr>
            <w:tcW w:w="7918" w:type="dxa"/>
            <w:tcBorders>
              <w:top w:val="single" w:color="auto" w:sz="4" w:space="0"/>
              <w:left w:val="single" w:color="auto" w:sz="4" w:space="0"/>
              <w:bottom w:val="single" w:color="auto" w:sz="4" w:space="0"/>
              <w:right w:val="single" w:color="auto" w:sz="4" w:space="0"/>
            </w:tcBorders>
            <w:vAlign w:val="center"/>
          </w:tcPr>
          <w:p>
            <w:pPr>
              <w:autoSpaceDN w:val="0"/>
              <w:jc w:val="left"/>
              <w:rPr>
                <w:rFonts w:ascii="宋体" w:hAnsi="宋体"/>
                <w:sz w:val="18"/>
              </w:rPr>
            </w:pPr>
            <w:r>
              <w:rPr>
                <w:rFonts w:hint="eastAsia" w:ascii="宋体" w:hAnsi="宋体"/>
                <w:sz w:val="18"/>
              </w:rPr>
              <w:t>单一投资者累计最大购买金额2000万元。</w:t>
            </w:r>
          </w:p>
          <w:p>
            <w:pPr>
              <w:autoSpaceDN w:val="0"/>
              <w:jc w:val="left"/>
              <w:rPr>
                <w:rFonts w:ascii="宋体" w:hAnsi="宋体"/>
                <w:sz w:val="18"/>
              </w:rPr>
            </w:pPr>
            <w:r>
              <w:rPr>
                <w:rFonts w:hint="eastAsia" w:ascii="宋体" w:hAnsi="宋体"/>
                <w:sz w:val="18"/>
              </w:rPr>
              <w:t>单一投资者持有份额不得超过总份额的50%，非因投资管理人主观因素导致突破前款规定比例限制的，在单一投资者持有比例降至50％以下之前，管理人有权不再接受该投资者对该理财产品的申购申请，投资者持有份额的计算以管理人登记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托管费率</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0.005%</w:t>
            </w:r>
            <w:r>
              <w:rPr>
                <w:rFonts w:hint="eastAsia"/>
                <w:sz w:val="18"/>
                <w:szCs w:val="18"/>
              </w:rPr>
              <w:t>（年化）</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固定管理费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最高不超过</w:t>
            </w:r>
            <w:r>
              <w:rPr>
                <w:sz w:val="18"/>
                <w:szCs w:val="18"/>
              </w:rPr>
              <w:t>0.</w:t>
            </w:r>
            <w:r>
              <w:rPr>
                <w:rFonts w:hint="eastAsia"/>
                <w:sz w:val="18"/>
                <w:szCs w:val="18"/>
              </w:rPr>
              <w:t>8</w:t>
            </w:r>
            <w:r>
              <w:rPr>
                <w:sz w:val="18"/>
                <w:szCs w:val="18"/>
              </w:rPr>
              <w:t>%</w:t>
            </w:r>
            <w:r>
              <w:rPr>
                <w:rFonts w:hint="eastAsia"/>
                <w:sz w:val="18"/>
                <w:szCs w:val="18"/>
              </w:rPr>
              <w:t>（年化）。若本理财产品扣除产品固定管理费、托管费及其他费用（如有）后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其他费用（如有）</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交易费用（包括但不限于交易佣金、撮合费用等）、理财计划外包估值服务费、理财计划验资费、审计费、律师费、信息披露费、清算费、执行费用等相关费用，具体以实际发生为准。</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浮动管理费</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在本理财产品扣除产品固定管理费及托管费等各项费用后,每日对比投资周期起始日至当日的累计单位净值年化增长率与业绩比较基准，投资管理人收取相应的浮动管理费。浮动管理费的具体计提及提取方式参照下文计算公式执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单位净值（份额净值）</w:t>
            </w:r>
          </w:p>
        </w:tc>
        <w:tc>
          <w:tcPr>
            <w:tcW w:w="7918" w:type="dxa"/>
            <w:tcBorders>
              <w:top w:val="single" w:color="auto" w:sz="4" w:space="0"/>
              <w:left w:val="single" w:color="auto" w:sz="4" w:space="0"/>
              <w:bottom w:val="single" w:color="auto" w:sz="4" w:space="0"/>
              <w:right w:val="single" w:color="auto" w:sz="4" w:space="0"/>
            </w:tcBorders>
            <w:vAlign w:val="center"/>
          </w:tcPr>
          <w:p>
            <w:pPr>
              <w:pStyle w:val="7"/>
              <w:widowControl/>
              <w:spacing w:before="100" w:beforeAutospacing="1" w:after="100" w:afterAutospacing="1"/>
              <w:rPr>
                <w:sz w:val="18"/>
                <w:szCs w:val="18"/>
              </w:rPr>
            </w:pPr>
            <w:r>
              <w:rPr>
                <w:rFonts w:hint="eastAsia" w:ascii="宋体" w:hAnsi="宋体"/>
                <w:kern w:val="0"/>
                <w:sz w:val="18"/>
                <w:szCs w:val="18"/>
              </w:rPr>
              <w:t>单位净值为提取相关费用后的单位理财产品份额净值，单位净值=理财产品估值日理财产品总净值/产品总份额。理财产品总净值=理财产品认购</w:t>
            </w:r>
            <w:r>
              <w:rPr>
                <w:rFonts w:hint="eastAsia" w:ascii="宋体" w:hAnsi="宋体"/>
                <w:sz w:val="18"/>
              </w:rPr>
              <w:t>（申购）</w:t>
            </w:r>
            <w:r>
              <w:rPr>
                <w:rFonts w:hint="eastAsia" w:ascii="宋体" w:hAnsi="宋体"/>
                <w:kern w:val="0"/>
                <w:sz w:val="18"/>
                <w:szCs w:val="18"/>
              </w:rPr>
              <w:t>总额-理财产品赎回总额+理财产品所获总收益-理财产品总费用（包括但不限于固定管理费、浮动管理费、托管费及</w:t>
            </w:r>
            <w:r>
              <w:rPr>
                <w:rFonts w:hint="eastAsia"/>
                <w:sz w:val="18"/>
                <w:szCs w:val="18"/>
              </w:rPr>
              <w:t>税费、</w:t>
            </w:r>
            <w:r>
              <w:rPr>
                <w:rFonts w:hint="eastAsia" w:ascii="宋体" w:hAnsi="宋体"/>
                <w:kern w:val="0"/>
                <w:sz w:val="18"/>
                <w:szCs w:val="18"/>
              </w:rPr>
              <w:t>其他费用等）</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sz w:val="18"/>
                <w:szCs w:val="18"/>
              </w:rPr>
              <w:t>产品托管人</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center"/>
              <w:rPr>
                <w:sz w:val="18"/>
                <w:szCs w:val="18"/>
              </w:rPr>
            </w:pPr>
            <w:r>
              <w:rPr>
                <w:rFonts w:hint="eastAsia"/>
                <w:sz w:val="18"/>
                <w:szCs w:val="18"/>
              </w:rPr>
              <w:t>具有证券投资基金托管业务资格的商业银行</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sz w:val="18"/>
                <w:szCs w:val="18"/>
              </w:rPr>
            </w:pPr>
            <w:r>
              <w:rPr>
                <w:rFonts w:hint="eastAsia"/>
                <w:sz w:val="18"/>
                <w:szCs w:val="18"/>
              </w:rPr>
              <w:t>销售机构及主要职责</w:t>
            </w:r>
          </w:p>
        </w:tc>
        <w:tc>
          <w:tcPr>
            <w:tcW w:w="7918" w:type="dxa"/>
            <w:tcBorders>
              <w:top w:val="single" w:color="auto" w:sz="4" w:space="0"/>
              <w:left w:val="single" w:color="auto" w:sz="4" w:space="0"/>
              <w:bottom w:val="single" w:color="auto" w:sz="4" w:space="0"/>
              <w:right w:val="single" w:color="auto" w:sz="4" w:space="0"/>
            </w:tcBorders>
            <w:vAlign w:val="center"/>
          </w:tcPr>
          <w:p>
            <w:pPr>
              <w:adjustRightInd w:val="0"/>
              <w:snapToGrid w:val="0"/>
              <w:spacing w:line="300" w:lineRule="auto"/>
              <w:jc w:val="left"/>
              <w:rPr>
                <w:sz w:val="18"/>
                <w:szCs w:val="18"/>
              </w:rPr>
            </w:pPr>
            <w:r>
              <w:rPr>
                <w:rFonts w:hint="eastAsia"/>
                <w:sz w:val="18"/>
                <w:szCs w:val="18"/>
              </w:rPr>
              <w:t>温州银行股份有限公司（含分支机构）。销售机构提供包括投资者风险承受能力评估和投资者适当性管理、理财计划份额认购/申购、协助管理人与投资者签订理财计划合同、协助管理人进行信息披露、接受投资者咨询和客户维护等销售服务。</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净值披露</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sz w:val="18"/>
                <w:szCs w:val="18"/>
              </w:rPr>
            </w:pPr>
            <w:r>
              <w:rPr>
                <w:rFonts w:hint="eastAsia"/>
                <w:sz w:val="18"/>
                <w:szCs w:val="18"/>
              </w:rPr>
              <w:t>温州银行将在温州银行官方网站或电子银行等信息平台定期披露产品净值、投资收益情况及其他重要信息。</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税款规定</w:t>
            </w:r>
          </w:p>
        </w:tc>
        <w:tc>
          <w:tcPr>
            <w:tcW w:w="7918" w:type="dxa"/>
            <w:tcBorders>
              <w:top w:val="single" w:color="auto" w:sz="4" w:space="0"/>
              <w:left w:val="single" w:color="auto" w:sz="4" w:space="0"/>
              <w:bottom w:val="single" w:color="auto" w:sz="4" w:space="0"/>
              <w:right w:val="single" w:color="auto" w:sz="4" w:space="0"/>
            </w:tcBorders>
            <w:vAlign w:val="center"/>
          </w:tcPr>
          <w:p>
            <w:pPr>
              <w:autoSpaceDE w:val="0"/>
              <w:autoSpaceDN w:val="0"/>
              <w:adjustRightInd w:val="0"/>
              <w:jc w:val="left"/>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b/>
                <w:sz w:val="18"/>
                <w:szCs w:val="18"/>
              </w:rPr>
            </w:pPr>
            <w:r>
              <w:rPr>
                <w:rFonts w:hint="eastAsia" w:cs="Times New Roman"/>
                <w:b/>
                <w:sz w:val="18"/>
                <w:szCs w:val="18"/>
              </w:rPr>
              <w:t>提前终止权</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b/>
                <w:sz w:val="18"/>
                <w:szCs w:val="18"/>
              </w:rPr>
            </w:pPr>
            <w:r>
              <w:rPr>
                <w:rFonts w:hint="eastAsia" w:cs="Times New Roman"/>
                <w:b/>
                <w:sz w:val="18"/>
                <w:szCs w:val="18"/>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工作日</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trPr>
        <w:tc>
          <w:tcPr>
            <w:tcW w:w="1499"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jc w:val="center"/>
              <w:rPr>
                <w:rFonts w:cs="Times New Roman"/>
                <w:sz w:val="18"/>
                <w:szCs w:val="18"/>
              </w:rPr>
            </w:pPr>
            <w:r>
              <w:rPr>
                <w:rFonts w:hint="eastAsia" w:cs="Times New Roman"/>
                <w:sz w:val="18"/>
                <w:szCs w:val="18"/>
              </w:rPr>
              <w:t>其他规定</w:t>
            </w:r>
          </w:p>
        </w:tc>
        <w:tc>
          <w:tcPr>
            <w:tcW w:w="7918" w:type="dxa"/>
            <w:tcBorders>
              <w:top w:val="single" w:color="auto" w:sz="4" w:space="0"/>
              <w:left w:val="single" w:color="auto" w:sz="4" w:space="0"/>
              <w:bottom w:val="single" w:color="auto" w:sz="4" w:space="0"/>
              <w:right w:val="single" w:color="auto" w:sz="4" w:space="0"/>
            </w:tcBorders>
            <w:vAlign w:val="center"/>
          </w:tcPr>
          <w:p>
            <w:pPr>
              <w:pStyle w:val="14"/>
              <w:adjustRightInd w:val="0"/>
              <w:snapToGrid w:val="0"/>
              <w:spacing w:before="0" w:beforeAutospacing="0" w:after="0" w:afterAutospacing="0" w:line="288" w:lineRule="auto"/>
              <w:rPr>
                <w:rFonts w:cs="Times New Roman"/>
                <w:sz w:val="18"/>
                <w:szCs w:val="18"/>
              </w:rPr>
            </w:pPr>
            <w:r>
              <w:rPr>
                <w:rFonts w:hint="eastAsia" w:cs="Times New Roman"/>
                <w:sz w:val="18"/>
                <w:szCs w:val="18"/>
              </w:rPr>
              <w:t>理财本金在理财计划成立日/投资周期起始日前交存于温州银行的，按当时实行的活期利率计息。赎回清算日到理财资金返还到账日为还本清算期，还本清算期内不计付利息和收益。</w:t>
            </w:r>
          </w:p>
        </w:tc>
      </w:tr>
    </w:tbl>
    <w:p>
      <w:pPr>
        <w:adjustRightInd w:val="0"/>
        <w:snapToGrid w:val="0"/>
        <w:spacing w:before="156" w:beforeLines="50" w:line="288" w:lineRule="auto"/>
        <w:rPr>
          <w:b/>
          <w:sz w:val="18"/>
          <w:szCs w:val="18"/>
        </w:rPr>
      </w:pPr>
      <w:r>
        <w:rPr>
          <w:rFonts w:hint="eastAsia"/>
          <w:b/>
          <w:sz w:val="18"/>
          <w:szCs w:val="18"/>
        </w:rPr>
        <w:t>投资管理</w:t>
      </w:r>
    </w:p>
    <w:p>
      <w:pPr>
        <w:adjustRightInd w:val="0"/>
        <w:snapToGrid w:val="0"/>
        <w:spacing w:line="300" w:lineRule="auto"/>
        <w:rPr>
          <w:sz w:val="18"/>
          <w:szCs w:val="18"/>
        </w:rPr>
      </w:pPr>
      <w:r>
        <w:rPr>
          <w:rFonts w:hint="eastAsia"/>
          <w:sz w:val="18"/>
          <w:szCs w:val="18"/>
        </w:rPr>
        <w:t>1、投资范围</w:t>
      </w:r>
    </w:p>
    <w:p>
      <w:pPr>
        <w:adjustRightInd w:val="0"/>
        <w:snapToGrid w:val="0"/>
        <w:spacing w:line="300" w:lineRule="auto"/>
        <w:rPr>
          <w:sz w:val="18"/>
          <w:szCs w:val="18"/>
        </w:rPr>
      </w:pPr>
      <w:r>
        <w:rPr>
          <w:rFonts w:hint="eastAsia"/>
          <w:sz w:val="18"/>
          <w:szCs w:val="18"/>
        </w:rPr>
        <w:t>本产品为固定收益类理财产品，温州银行主要将理财产品募集资金直接或间接配置于存款、债券回购、货币市场工具、债券等债权类资产，部分可投资于权益类资产。具体包括但不限于银行间市场和证券交易所市场债权性资产、非标准化债权资产、公募基金、资产管理计划、信托计划、各类受（收）益权、资产支持证券、票据资产、债券型基金、股票型基金、证券投资基金、债券借贷，及其他符合监管要求的投资标的和资产组合。与交易对手开展买入返售交易的，可接受押品的资质要求应该符合本产品的说明书关于投资范围的约定。本产品的收益主要来源于理财资金所投资资产的投资回报。投资者按其认购（申购）金额占该理财产品项下所有认购（申购）资金的比例，承担相应比例的收益和风险。</w:t>
      </w:r>
    </w:p>
    <w:p>
      <w:pPr>
        <w:adjustRightInd w:val="0"/>
        <w:snapToGrid w:val="0"/>
        <w:spacing w:line="288" w:lineRule="auto"/>
        <w:rPr>
          <w:sz w:val="18"/>
          <w:szCs w:val="18"/>
        </w:rPr>
      </w:pPr>
      <w:r>
        <w:rPr>
          <w:sz w:val="18"/>
          <w:szCs w:val="18"/>
        </w:rPr>
        <w:t>2</w:t>
      </w:r>
      <w:r>
        <w:rPr>
          <w:rFonts w:hint="eastAsia"/>
          <w:sz w:val="18"/>
          <w:szCs w:val="18"/>
        </w:rPr>
        <w:t>、投资范围与投资比例</w:t>
      </w:r>
    </w:p>
    <w:tbl>
      <w:tblPr>
        <w:tblStyle w:val="9"/>
        <w:tblW w:w="9400" w:type="dxa"/>
        <w:jc w:val="center"/>
        <w:tblLayout w:type="fixed"/>
        <w:tblCellMar>
          <w:top w:w="0" w:type="dxa"/>
          <w:left w:w="108" w:type="dxa"/>
          <w:bottom w:w="0" w:type="dxa"/>
          <w:right w:w="108" w:type="dxa"/>
        </w:tblCellMar>
      </w:tblPr>
      <w:tblGrid>
        <w:gridCol w:w="2081"/>
        <w:gridCol w:w="5616"/>
        <w:gridCol w:w="1703"/>
      </w:tblGrid>
      <w:tr>
        <w:tblPrEx>
          <w:tblCellMar>
            <w:top w:w="0" w:type="dxa"/>
            <w:left w:w="108" w:type="dxa"/>
            <w:bottom w:w="0" w:type="dxa"/>
            <w:right w:w="108" w:type="dxa"/>
          </w:tblCellMar>
        </w:tblPrEx>
        <w:trPr>
          <w:trHeight w:val="270" w:hRule="atLeast"/>
          <w:jc w:val="center"/>
        </w:trPr>
        <w:tc>
          <w:tcPr>
            <w:tcW w:w="2081" w:type="dxa"/>
            <w:tcBorders>
              <w:top w:val="single" w:color="auto" w:sz="4" w:space="0"/>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资产类别</w:t>
            </w:r>
          </w:p>
        </w:tc>
        <w:tc>
          <w:tcPr>
            <w:tcW w:w="5616"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资产种类</w:t>
            </w:r>
          </w:p>
        </w:tc>
        <w:tc>
          <w:tcPr>
            <w:tcW w:w="1703" w:type="dxa"/>
            <w:tcBorders>
              <w:top w:val="single" w:color="auto" w:sz="4" w:space="0"/>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投资比例</w:t>
            </w:r>
          </w:p>
        </w:tc>
      </w:tr>
      <w:tr>
        <w:trPr>
          <w:trHeight w:val="270" w:hRule="atLeast"/>
          <w:jc w:val="center"/>
        </w:trPr>
        <w:tc>
          <w:tcPr>
            <w:tcW w:w="2081" w:type="dxa"/>
            <w:vMerge w:val="restart"/>
            <w:tcBorders>
              <w:top w:val="nil"/>
              <w:left w:val="single" w:color="auto" w:sz="4" w:space="0"/>
              <w:bottom w:val="single" w:color="000000" w:sz="4" w:space="0"/>
              <w:right w:val="single" w:color="auto" w:sz="4" w:space="0"/>
            </w:tcBorders>
            <w:vAlign w:val="center"/>
          </w:tcPr>
          <w:p>
            <w:pPr>
              <w:widowControl/>
              <w:rPr>
                <w:rFonts w:ascii="宋体" w:hAnsi="宋体" w:cs="宋体"/>
                <w:color w:val="000000"/>
                <w:kern w:val="0"/>
                <w:sz w:val="18"/>
                <w:szCs w:val="18"/>
              </w:rPr>
            </w:pPr>
            <w:r>
              <w:rPr>
                <w:rFonts w:hint="eastAsia" w:ascii="宋体" w:hAnsi="宋体" w:cs="宋体"/>
                <w:color w:val="000000"/>
                <w:kern w:val="0"/>
                <w:sz w:val="18"/>
                <w:szCs w:val="18"/>
              </w:rPr>
              <w:t>债权类资产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存款类</w:t>
            </w:r>
          </w:p>
        </w:tc>
        <w:tc>
          <w:tcPr>
            <w:tcW w:w="1703" w:type="dxa"/>
            <w:vMerge w:val="restart"/>
            <w:tcBorders>
              <w:top w:val="nil"/>
              <w:left w:val="single" w:color="auto" w:sz="4" w:space="0"/>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80-100%</w:t>
            </w: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债券回购、货币市场工具类</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vMerge w:val="continue"/>
            <w:tcBorders>
              <w:top w:val="nil"/>
              <w:left w:val="single" w:color="auto" w:sz="4" w:space="0"/>
              <w:bottom w:val="single" w:color="000000" w:sz="4" w:space="0"/>
              <w:right w:val="single" w:color="auto" w:sz="4" w:space="0"/>
            </w:tcBorders>
            <w:vAlign w:val="center"/>
          </w:tcPr>
          <w:p>
            <w:pPr>
              <w:widowControl/>
              <w:jc w:val="left"/>
              <w:rPr>
                <w:rFonts w:ascii="宋体" w:hAnsi="宋体" w:cs="宋体"/>
                <w:color w:val="000000"/>
                <w:kern w:val="0"/>
                <w:sz w:val="18"/>
                <w:szCs w:val="18"/>
              </w:rPr>
            </w:pP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其他符合监管要求的债权类资产</w:t>
            </w:r>
          </w:p>
        </w:tc>
        <w:tc>
          <w:tcPr>
            <w:tcW w:w="1703" w:type="dxa"/>
            <w:vMerge w:val="continue"/>
            <w:tcBorders>
              <w:top w:val="nil"/>
              <w:left w:val="single" w:color="auto" w:sz="4" w:space="0"/>
              <w:bottom w:val="single" w:color="auto" w:sz="4" w:space="0"/>
              <w:right w:val="single" w:color="auto" w:sz="4" w:space="0"/>
            </w:tcBorders>
            <w:vAlign w:val="center"/>
          </w:tcPr>
          <w:p>
            <w:pPr>
              <w:widowControl/>
              <w:jc w:val="left"/>
              <w:rPr>
                <w:rFonts w:ascii="宋体" w:hAnsi="宋体" w:cs="宋体"/>
                <w:color w:val="000000"/>
                <w:kern w:val="0"/>
                <w:sz w:val="18"/>
                <w:szCs w:val="18"/>
              </w:rPr>
            </w:pPr>
          </w:p>
        </w:tc>
      </w:tr>
      <w:tr>
        <w:tblPrEx>
          <w:tblCellMar>
            <w:top w:w="0" w:type="dxa"/>
            <w:left w:w="108" w:type="dxa"/>
            <w:bottom w:w="0" w:type="dxa"/>
            <w:right w:w="108" w:type="dxa"/>
          </w:tblCellMar>
        </w:tblPrEx>
        <w:trPr>
          <w:trHeight w:val="270" w:hRule="atLeast"/>
          <w:jc w:val="center"/>
        </w:trPr>
        <w:tc>
          <w:tcPr>
            <w:tcW w:w="2081" w:type="dxa"/>
            <w:tcBorders>
              <w:top w:val="nil"/>
              <w:left w:val="single" w:color="auto" w:sz="4" w:space="0"/>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ascii="宋体" w:hAnsi="宋体" w:cs="宋体"/>
                <w:color w:val="000000"/>
                <w:kern w:val="0"/>
                <w:sz w:val="18"/>
                <w:szCs w:val="18"/>
              </w:rPr>
              <w:t>权益类资产</w:t>
            </w:r>
          </w:p>
        </w:tc>
        <w:tc>
          <w:tcPr>
            <w:tcW w:w="5616" w:type="dxa"/>
            <w:tcBorders>
              <w:top w:val="nil"/>
              <w:left w:val="nil"/>
              <w:bottom w:val="single" w:color="auto" w:sz="4" w:space="0"/>
              <w:right w:val="single" w:color="auto" w:sz="4" w:space="0"/>
            </w:tcBorders>
            <w:vAlign w:val="bottom"/>
          </w:tcPr>
          <w:p>
            <w:pPr>
              <w:widowControl/>
              <w:jc w:val="left"/>
              <w:rPr>
                <w:rFonts w:ascii="宋体" w:hAnsi="宋体" w:cs="宋体"/>
                <w:color w:val="000000"/>
                <w:kern w:val="0"/>
                <w:sz w:val="18"/>
                <w:szCs w:val="18"/>
              </w:rPr>
            </w:pPr>
            <w:r>
              <w:rPr>
                <w:rFonts w:hint="eastAsia"/>
                <w:sz w:val="18"/>
                <w:szCs w:val="18"/>
              </w:rPr>
              <w:t>股票型基金、证券投资基金以及其他符合监管要求的权益类资产</w:t>
            </w:r>
          </w:p>
        </w:tc>
        <w:tc>
          <w:tcPr>
            <w:tcW w:w="1703" w:type="dxa"/>
            <w:tcBorders>
              <w:top w:val="nil"/>
              <w:left w:val="nil"/>
              <w:bottom w:val="single" w:color="auto" w:sz="4" w:space="0"/>
              <w:right w:val="single" w:color="auto" w:sz="4" w:space="0"/>
            </w:tcBorders>
            <w:vAlign w:val="center"/>
          </w:tcPr>
          <w:p>
            <w:pPr>
              <w:widowControl/>
              <w:jc w:val="center"/>
              <w:rPr>
                <w:rFonts w:ascii="宋体" w:hAnsi="宋体" w:cs="宋体"/>
                <w:color w:val="000000"/>
                <w:kern w:val="0"/>
                <w:sz w:val="18"/>
                <w:szCs w:val="18"/>
              </w:rPr>
            </w:pPr>
            <w:r>
              <w:rPr>
                <w:rFonts w:hint="eastAsia" w:ascii="宋体" w:hAnsi="宋体" w:cs="宋体"/>
                <w:color w:val="000000"/>
                <w:kern w:val="0"/>
                <w:sz w:val="18"/>
                <w:szCs w:val="18"/>
              </w:rPr>
              <w:t>0-20%</w:t>
            </w:r>
          </w:p>
        </w:tc>
      </w:tr>
    </w:tbl>
    <w:p>
      <w:pPr>
        <w:adjustRightInd w:val="0"/>
        <w:snapToGrid w:val="0"/>
        <w:spacing w:line="286" w:lineRule="auto"/>
        <w:rPr>
          <w:sz w:val="18"/>
          <w:szCs w:val="18"/>
        </w:rPr>
      </w:pPr>
      <w:r>
        <w:rPr>
          <w:rFonts w:hint="eastAsia"/>
          <w:sz w:val="18"/>
          <w:szCs w:val="18"/>
        </w:rPr>
        <w:t>本理财产品的杠杆水平不超过140%。</w:t>
      </w:r>
    </w:p>
    <w:p>
      <w:pPr>
        <w:adjustRightInd w:val="0"/>
        <w:snapToGrid w:val="0"/>
        <w:spacing w:line="286" w:lineRule="auto"/>
        <w:rPr>
          <w:sz w:val="18"/>
          <w:szCs w:val="18"/>
        </w:rPr>
      </w:pPr>
      <w:r>
        <w:rPr>
          <w:rFonts w:hint="eastAsia"/>
          <w:sz w:val="18"/>
          <w:szCs w:val="18"/>
        </w:rPr>
        <w:t>非因主观因素导致突破前述比例限制的，为保护投资者利益，温州银行将在流动性受限资产可出售、可转让或恢复交易的15个交易日内调整至上述比例范围，国务院银行业监督管理机构规定的特殊情形除外。</w:t>
      </w:r>
    </w:p>
    <w:p>
      <w:pPr>
        <w:adjustRightInd w:val="0"/>
        <w:snapToGrid w:val="0"/>
        <w:spacing w:line="286" w:lineRule="auto"/>
        <w:rPr>
          <w:sz w:val="18"/>
          <w:szCs w:val="18"/>
        </w:rPr>
      </w:pPr>
      <w:r>
        <w:rPr>
          <w:rFonts w:hint="eastAsia"/>
          <w:sz w:val="18"/>
          <w:szCs w:val="18"/>
        </w:rPr>
        <w:t>3、投资策略</w:t>
      </w:r>
    </w:p>
    <w:p>
      <w:pPr>
        <w:adjustRightInd w:val="0"/>
        <w:snapToGrid w:val="0"/>
        <w:spacing w:line="286" w:lineRule="auto"/>
        <w:rPr>
          <w:sz w:val="18"/>
          <w:szCs w:val="18"/>
        </w:rPr>
      </w:pPr>
      <w:r>
        <w:rPr>
          <w:rFonts w:hint="eastAsia"/>
          <w:sz w:val="18"/>
          <w:szCs w:val="18"/>
        </w:rPr>
        <w:t>本产品采用安全性和流动性优先、追求适度收益的投资策略。温州银行作为管理人将根据拟投资标的资产的特点进行投资管理，以寻求稳健、低风险的投资收益。</w:t>
      </w:r>
    </w:p>
    <w:p>
      <w:pPr>
        <w:numPr>
          <w:ilvl w:val="0"/>
          <w:numId w:val="1"/>
        </w:numPr>
        <w:adjustRightInd w:val="0"/>
        <w:snapToGrid w:val="0"/>
        <w:spacing w:line="281" w:lineRule="auto"/>
        <w:rPr>
          <w:bCs/>
          <w:sz w:val="18"/>
          <w:szCs w:val="18"/>
        </w:rPr>
      </w:pPr>
      <w:r>
        <w:rPr>
          <w:rFonts w:hint="eastAsia"/>
          <w:bCs/>
          <w:sz w:val="18"/>
          <w:szCs w:val="18"/>
        </w:rPr>
        <w:t>主要拟投资市场、资产的流动性风险评估</w:t>
      </w:r>
    </w:p>
    <w:p>
      <w:pPr>
        <w:adjustRightInd w:val="0"/>
        <w:snapToGrid w:val="0"/>
        <w:spacing w:line="281" w:lineRule="auto"/>
        <w:rPr>
          <w:bCs/>
          <w:sz w:val="18"/>
          <w:szCs w:val="18"/>
        </w:rPr>
      </w:pPr>
      <w:r>
        <w:rPr>
          <w:rFonts w:hint="eastAsia"/>
          <w:bCs/>
          <w:sz w:val="18"/>
          <w:szCs w:val="18"/>
        </w:rPr>
        <w:t>（1）投资于标准化固收类的可能流动性风险：各类债券、存款、货币基金、债券基金、质押式及买断式回购等标准化资产的交易场所，市场透明度较高，运作方式规范，可支持产品的投资和应对日常申赎的需要。上述资产受限于市场交易活跃度，或当出现风险事件后，可能会难以以合理价格变现，同时市场资金面紧张也可能降低市场参与者的交易意愿，进而带来流动性风险。</w:t>
      </w:r>
    </w:p>
    <w:p>
      <w:pPr>
        <w:adjustRightInd w:val="0"/>
        <w:snapToGrid w:val="0"/>
        <w:spacing w:line="281" w:lineRule="auto"/>
        <w:rPr>
          <w:bCs/>
          <w:sz w:val="18"/>
          <w:szCs w:val="18"/>
        </w:rPr>
      </w:pPr>
      <w:r>
        <w:rPr>
          <w:rFonts w:hint="eastAsia"/>
          <w:bCs/>
          <w:sz w:val="18"/>
          <w:szCs w:val="18"/>
        </w:rPr>
        <w:t>（2）投资于非标准化固定收益类资产的可能流动性风险（如有）：非标准化固定收益类资产项下的基础资产现金流未能及时完整取得而产生信用风险，从而无法如期兑付进一步引发流动性风险。</w:t>
      </w:r>
    </w:p>
    <w:p>
      <w:pPr>
        <w:adjustRightInd w:val="0"/>
        <w:snapToGrid w:val="0"/>
        <w:spacing w:line="281" w:lineRule="auto"/>
        <w:rPr>
          <w:bCs/>
          <w:sz w:val="18"/>
          <w:szCs w:val="18"/>
        </w:rPr>
      </w:pPr>
      <w:r>
        <w:rPr>
          <w:rFonts w:hint="eastAsia"/>
          <w:bCs/>
          <w:sz w:val="18"/>
          <w:szCs w:val="18"/>
        </w:rPr>
        <w:t>（3）投资于权益类资产的可能流动性风险（如有）：权益类资产包括但不限于上市公司普通股、上市公司优先股、股票基金、股票定向增发等，受国家政策、经济周期、利率、汇率、股票发行人经营情况等因素导致的市场风险，可能导致流通与转让限制、市场参与者交易意愿降低、停牌、退市等情形，从而进一步引发流动性风险。</w:t>
      </w:r>
    </w:p>
    <w:p>
      <w:pPr>
        <w:adjustRightInd w:val="0"/>
        <w:snapToGrid w:val="0"/>
        <w:spacing w:line="281" w:lineRule="auto"/>
        <w:rPr>
          <w:sz w:val="18"/>
          <w:szCs w:val="18"/>
        </w:rPr>
      </w:pPr>
      <w:r>
        <w:rPr>
          <w:rFonts w:hint="eastAsia"/>
          <w:bCs/>
          <w:sz w:val="18"/>
          <w:szCs w:val="18"/>
        </w:rPr>
        <w:t>以上风险仅为列举性质，未能详尽列明拟投资市场和资产面临的全部流动性风险可能导致投资者投资本金及收益损失或延期兑付的所有因素。管理人会结合各类标的资产的预期流动性合理进行资产配置，加强流动性管理。</w:t>
      </w:r>
    </w:p>
    <w:p>
      <w:pPr>
        <w:adjustRightInd w:val="0"/>
        <w:snapToGrid w:val="0"/>
        <w:spacing w:line="281" w:lineRule="auto"/>
        <w:rPr>
          <w:b/>
          <w:sz w:val="18"/>
          <w:szCs w:val="18"/>
        </w:rPr>
      </w:pPr>
      <w:r>
        <w:rPr>
          <w:rFonts w:hint="eastAsia"/>
          <w:b/>
          <w:sz w:val="18"/>
          <w:szCs w:val="18"/>
        </w:rPr>
        <w:t>产品销售</w:t>
      </w:r>
    </w:p>
    <w:p>
      <w:pPr>
        <w:adjustRightInd w:val="0"/>
        <w:snapToGrid w:val="0"/>
        <w:spacing w:line="281" w:lineRule="auto"/>
        <w:rPr>
          <w:sz w:val="18"/>
          <w:szCs w:val="18"/>
        </w:rPr>
      </w:pPr>
      <w:r>
        <w:rPr>
          <w:rFonts w:hint="eastAsia"/>
          <w:sz w:val="18"/>
          <w:szCs w:val="18"/>
        </w:rPr>
        <w:t>销售地区范围包括浙江省、上海地区等。</w:t>
      </w:r>
    </w:p>
    <w:p>
      <w:pPr>
        <w:adjustRightInd w:val="0"/>
        <w:snapToGrid w:val="0"/>
        <w:spacing w:line="286" w:lineRule="auto"/>
        <w:rPr>
          <w:b/>
          <w:bCs/>
          <w:sz w:val="18"/>
          <w:szCs w:val="18"/>
        </w:rPr>
      </w:pPr>
      <w:r>
        <w:rPr>
          <w:rFonts w:hint="eastAsia"/>
          <w:b/>
          <w:bCs/>
          <w:sz w:val="18"/>
          <w:szCs w:val="18"/>
        </w:rPr>
        <w:t>投资管理人</w:t>
      </w:r>
    </w:p>
    <w:p>
      <w:pPr>
        <w:adjustRightInd w:val="0"/>
        <w:snapToGrid w:val="0"/>
        <w:spacing w:line="286" w:lineRule="auto"/>
        <w:rPr>
          <w:sz w:val="18"/>
          <w:szCs w:val="18"/>
        </w:rPr>
      </w:pPr>
      <w:r>
        <w:rPr>
          <w:rFonts w:hint="eastAsia"/>
          <w:sz w:val="18"/>
          <w:szCs w:val="18"/>
        </w:rPr>
        <w:t>本产品的投资管理人为温州银行。温州银行接受客户的委托和授权，按照本产品说明书约定的投资方向和方式，进行投资和资产管理，代表客户签订投资和资产管理过程中涉及到的协议、合同等文本；以理财计划管理人名义依照法律法规相关规定以及为理财计划利益行使因本理财投资所产生的相关权利（包括但不限于投票表决权、追索权利等）。</w:t>
      </w:r>
    </w:p>
    <w:p>
      <w:pPr>
        <w:adjustRightInd w:val="0"/>
        <w:snapToGrid w:val="0"/>
        <w:spacing w:line="286" w:lineRule="auto"/>
        <w:rPr>
          <w:b/>
          <w:bCs/>
          <w:sz w:val="18"/>
          <w:szCs w:val="18"/>
        </w:rPr>
      </w:pPr>
      <w:r>
        <w:rPr>
          <w:rFonts w:hint="eastAsia"/>
          <w:b/>
          <w:bCs/>
          <w:sz w:val="18"/>
          <w:szCs w:val="18"/>
        </w:rPr>
        <w:t>产品托管人</w:t>
      </w:r>
    </w:p>
    <w:p>
      <w:pPr>
        <w:adjustRightInd w:val="0"/>
        <w:snapToGrid w:val="0"/>
        <w:spacing w:line="286" w:lineRule="auto"/>
        <w:rPr>
          <w:sz w:val="18"/>
          <w:szCs w:val="18"/>
        </w:rPr>
      </w:pPr>
      <w:r>
        <w:rPr>
          <w:rFonts w:hint="eastAsia"/>
          <w:sz w:val="18"/>
          <w:szCs w:val="18"/>
        </w:rPr>
        <w:t>本产品的托管人为招商</w:t>
      </w:r>
      <w:r>
        <w:rPr>
          <w:sz w:val="18"/>
          <w:szCs w:val="18"/>
        </w:rPr>
        <w:t>银行股份有限公司</w:t>
      </w:r>
      <w:r>
        <w:rPr>
          <w:rFonts w:hint="eastAsia"/>
          <w:sz w:val="18"/>
          <w:szCs w:val="18"/>
        </w:rPr>
        <w:t>宁波分行，负责履行国务院银行业监督管理机构规定及托管合同约定的职责，包括但不限于提供包括账户开立、资金保管、资金结算、估值核对、办理与理财产品托管业务活动相关的信息披露事项等理财产品托管服务。</w:t>
      </w:r>
    </w:p>
    <w:p>
      <w:pPr>
        <w:adjustRightInd w:val="0"/>
        <w:snapToGrid w:val="0"/>
        <w:spacing w:line="286" w:lineRule="auto"/>
        <w:rPr>
          <w:b/>
          <w:bCs/>
          <w:sz w:val="18"/>
          <w:szCs w:val="18"/>
        </w:rPr>
      </w:pPr>
      <w:r>
        <w:rPr>
          <w:rFonts w:hint="eastAsia"/>
          <w:b/>
          <w:bCs/>
          <w:sz w:val="18"/>
          <w:szCs w:val="18"/>
        </w:rPr>
        <w:t>投资合作机构</w:t>
      </w:r>
    </w:p>
    <w:p>
      <w:pPr>
        <w:adjustRightInd w:val="0"/>
        <w:snapToGrid w:val="0"/>
        <w:spacing w:line="286" w:lineRule="auto"/>
        <w:rPr>
          <w:sz w:val="18"/>
          <w:szCs w:val="18"/>
        </w:rPr>
      </w:pPr>
      <w:r>
        <w:rPr>
          <w:rFonts w:hint="eastAsia"/>
          <w:sz w:val="18"/>
          <w:szCs w:val="18"/>
        </w:rPr>
        <w:t>本产品的投资合作机构主要职责为进行受托资金的投资管理，根据合同约定从事受托投资或提供投资顾问服务，具体职责以产品管理人与投资合作机构签署的合同为准。投资者可登录温州银行网站（www.wzbank.cn）查询温州银行理财产品的投资合作机构名单。</w:t>
      </w:r>
    </w:p>
    <w:p>
      <w:pPr>
        <w:adjustRightInd w:val="0"/>
        <w:snapToGrid w:val="0"/>
        <w:spacing w:line="286" w:lineRule="auto"/>
        <w:rPr>
          <w:b/>
          <w:bCs/>
          <w:sz w:val="18"/>
          <w:szCs w:val="18"/>
        </w:rPr>
      </w:pPr>
      <w:r>
        <w:rPr>
          <w:rFonts w:hint="eastAsia"/>
          <w:b/>
          <w:bCs/>
          <w:sz w:val="18"/>
          <w:szCs w:val="18"/>
        </w:rPr>
        <w:t>理财产品估值</w:t>
      </w:r>
    </w:p>
    <w:p>
      <w:pPr>
        <w:adjustRightInd w:val="0"/>
        <w:snapToGrid w:val="0"/>
        <w:spacing w:line="286" w:lineRule="auto"/>
        <w:rPr>
          <w:sz w:val="18"/>
          <w:szCs w:val="18"/>
        </w:rPr>
      </w:pPr>
      <w:r>
        <w:rPr>
          <w:rFonts w:hint="eastAsia"/>
          <w:sz w:val="18"/>
          <w:szCs w:val="18"/>
        </w:rPr>
        <w:t xml:space="preserve">【估值日】 </w:t>
      </w:r>
    </w:p>
    <w:p>
      <w:pPr>
        <w:adjustRightInd w:val="0"/>
        <w:snapToGrid w:val="0"/>
        <w:spacing w:line="286" w:lineRule="auto"/>
        <w:rPr>
          <w:sz w:val="18"/>
          <w:szCs w:val="18"/>
        </w:rPr>
      </w:pPr>
      <w:r>
        <w:rPr>
          <w:rFonts w:hint="eastAsia"/>
          <w:sz w:val="18"/>
          <w:szCs w:val="18"/>
        </w:rPr>
        <w:t xml:space="preserve">本理财产品估值日为每个证券交易所的交易日，每周投资管理人和理财托管人核对估值结果，每个开放周期结束后2日内，披露本理财产品在开放周期清算日的估值。（如遇非工作日顺延至下一工作日，具体日期以温州银行公告为准）。 </w:t>
      </w:r>
    </w:p>
    <w:p>
      <w:pPr>
        <w:adjustRightInd w:val="0"/>
        <w:snapToGrid w:val="0"/>
        <w:spacing w:line="286" w:lineRule="auto"/>
        <w:rPr>
          <w:sz w:val="18"/>
          <w:szCs w:val="18"/>
        </w:rPr>
      </w:pPr>
      <w:r>
        <w:rPr>
          <w:rFonts w:hint="eastAsia"/>
          <w:sz w:val="18"/>
          <w:szCs w:val="18"/>
        </w:rPr>
        <w:t>【估值对象】</w:t>
      </w:r>
    </w:p>
    <w:p>
      <w:pPr>
        <w:adjustRightInd w:val="0"/>
        <w:snapToGrid w:val="0"/>
        <w:spacing w:line="286" w:lineRule="auto"/>
        <w:rPr>
          <w:sz w:val="18"/>
          <w:szCs w:val="18"/>
        </w:rPr>
      </w:pPr>
      <w:r>
        <w:rPr>
          <w:rFonts w:hint="eastAsia"/>
          <w:sz w:val="18"/>
          <w:szCs w:val="18"/>
        </w:rPr>
        <w:t xml:space="preserve"> 本理财产品所拥有的投资资产。</w:t>
      </w:r>
    </w:p>
    <w:p>
      <w:pPr>
        <w:adjustRightInd w:val="0"/>
        <w:snapToGrid w:val="0"/>
        <w:spacing w:line="286" w:lineRule="auto"/>
        <w:rPr>
          <w:sz w:val="18"/>
          <w:szCs w:val="18"/>
        </w:rPr>
      </w:pPr>
      <w:r>
        <w:rPr>
          <w:rFonts w:hint="eastAsia"/>
          <w:sz w:val="18"/>
          <w:szCs w:val="18"/>
        </w:rPr>
        <w:t xml:space="preserve">【估值目的】 </w:t>
      </w:r>
    </w:p>
    <w:p>
      <w:pPr>
        <w:adjustRightInd w:val="0"/>
        <w:snapToGrid w:val="0"/>
        <w:spacing w:line="286" w:lineRule="auto"/>
        <w:rPr>
          <w:sz w:val="18"/>
          <w:szCs w:val="18"/>
        </w:rPr>
      </w:pPr>
      <w:r>
        <w:rPr>
          <w:rFonts w:hint="eastAsia"/>
          <w:sz w:val="18"/>
          <w:szCs w:val="18"/>
        </w:rPr>
        <w:t xml:space="preserve">客观、准确反映理财产品的价值。 </w:t>
      </w:r>
    </w:p>
    <w:p>
      <w:pPr>
        <w:adjustRightInd w:val="0"/>
        <w:snapToGrid w:val="0"/>
        <w:spacing w:line="286" w:lineRule="auto"/>
        <w:rPr>
          <w:sz w:val="18"/>
          <w:szCs w:val="18"/>
        </w:rPr>
      </w:pPr>
      <w:r>
        <w:rPr>
          <w:rFonts w:hint="eastAsia"/>
          <w:sz w:val="18"/>
          <w:szCs w:val="18"/>
        </w:rPr>
        <w:t xml:space="preserve">【估值方法】 </w:t>
      </w:r>
    </w:p>
    <w:p>
      <w:pPr>
        <w:adjustRightInd w:val="0"/>
        <w:snapToGrid w:val="0"/>
        <w:spacing w:line="286" w:lineRule="auto"/>
        <w:rPr>
          <w:sz w:val="18"/>
          <w:szCs w:val="18"/>
        </w:rPr>
      </w:pPr>
      <w:r>
        <w:rPr>
          <w:rFonts w:hint="eastAsia"/>
          <w:sz w:val="18"/>
          <w:szCs w:val="18"/>
        </w:rPr>
        <w:t>1、货币市场工具：</w:t>
      </w:r>
    </w:p>
    <w:p>
      <w:pPr>
        <w:adjustRightInd w:val="0"/>
        <w:snapToGrid w:val="0"/>
        <w:spacing w:line="286" w:lineRule="auto"/>
        <w:rPr>
          <w:sz w:val="18"/>
          <w:szCs w:val="18"/>
        </w:rPr>
      </w:pPr>
      <w:r>
        <w:rPr>
          <w:rFonts w:hint="eastAsia"/>
          <w:sz w:val="18"/>
          <w:szCs w:val="18"/>
        </w:rPr>
        <w:t>（1）银行存款类资产及债券回购以本金列示、逐日计提利息。</w:t>
      </w:r>
    </w:p>
    <w:p>
      <w:pPr>
        <w:adjustRightInd w:val="0"/>
        <w:snapToGrid w:val="0"/>
        <w:spacing w:line="286" w:lineRule="auto"/>
        <w:rPr>
          <w:sz w:val="18"/>
          <w:szCs w:val="18"/>
        </w:rPr>
      </w:pPr>
      <w:r>
        <w:rPr>
          <w:rFonts w:hint="eastAsia"/>
          <w:sz w:val="18"/>
          <w:szCs w:val="18"/>
        </w:rPr>
        <w:t xml:space="preserve">（2）货币基金：如基金管理人披露份额净值，则按所投资基金的基金管理人披露的最近估值日份额净值进行估值；如基金管理人披露万份（/百份）收益，则按所投资基金前一估值日后至估值日期间（含节假日）的万份（/百份）收益计提收益。 </w:t>
      </w:r>
    </w:p>
    <w:p>
      <w:pPr>
        <w:adjustRightInd w:val="0"/>
        <w:snapToGrid w:val="0"/>
        <w:spacing w:line="286" w:lineRule="auto"/>
        <w:rPr>
          <w:sz w:val="18"/>
          <w:szCs w:val="18"/>
        </w:rPr>
      </w:pPr>
      <w:r>
        <w:rPr>
          <w:rFonts w:hint="eastAsia"/>
          <w:sz w:val="18"/>
          <w:szCs w:val="18"/>
        </w:rPr>
        <w:t>2、债券类资产：</w:t>
      </w:r>
    </w:p>
    <w:p>
      <w:pPr>
        <w:adjustRightInd w:val="0"/>
        <w:snapToGrid w:val="0"/>
        <w:spacing w:line="286" w:lineRule="auto"/>
        <w:rPr>
          <w:sz w:val="18"/>
          <w:szCs w:val="18"/>
        </w:rPr>
      </w:pPr>
      <w:r>
        <w:rPr>
          <w:rFonts w:hint="eastAsia"/>
          <w:sz w:val="18"/>
          <w:szCs w:val="18"/>
        </w:rPr>
        <w:t>（1）以收取合同现金流量为目的并持有到期的债券，在符合监管规定的情况下按摊余成本</w:t>
      </w:r>
      <w:r>
        <w:rPr>
          <w:sz w:val="18"/>
          <w:szCs w:val="18"/>
        </w:rPr>
        <w:t>法</w:t>
      </w:r>
      <w:r>
        <w:rPr>
          <w:rFonts w:hint="eastAsia"/>
          <w:sz w:val="18"/>
          <w:szCs w:val="18"/>
        </w:rPr>
        <w:t>计量。</w:t>
      </w:r>
    </w:p>
    <w:p>
      <w:pPr>
        <w:adjustRightInd w:val="0"/>
        <w:snapToGrid w:val="0"/>
        <w:spacing w:line="286" w:lineRule="auto"/>
        <w:rPr>
          <w:sz w:val="18"/>
          <w:szCs w:val="18"/>
        </w:rPr>
      </w:pPr>
      <w:r>
        <w:rPr>
          <w:rFonts w:hint="eastAsia"/>
          <w:sz w:val="18"/>
          <w:szCs w:val="18"/>
        </w:rPr>
        <w:t>（2）其余债券类资产按市价法估值。市价法不能确定其公允价值的，采用估值技术进行估值。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3、债权</w:t>
      </w:r>
      <w:r>
        <w:rPr>
          <w:sz w:val="18"/>
          <w:szCs w:val="18"/>
        </w:rPr>
        <w:t>类资产</w:t>
      </w:r>
      <w:r>
        <w:rPr>
          <w:rFonts w:hint="eastAsia"/>
          <w:sz w:val="18"/>
          <w:szCs w:val="18"/>
        </w:rPr>
        <w:t>：</w:t>
      </w:r>
    </w:p>
    <w:p>
      <w:pPr>
        <w:adjustRightInd w:val="0"/>
        <w:snapToGrid w:val="0"/>
        <w:spacing w:line="286" w:lineRule="auto"/>
        <w:rPr>
          <w:sz w:val="18"/>
          <w:szCs w:val="18"/>
        </w:rPr>
      </w:pPr>
      <w:r>
        <w:rPr>
          <w:rFonts w:hint="eastAsia"/>
          <w:sz w:val="18"/>
          <w:szCs w:val="18"/>
        </w:rPr>
        <w:t>（1）以收取合同现金流量为目的并持有到期的债权类资产，在符合监管规定的情况下按摊余成本法计量。</w:t>
      </w:r>
    </w:p>
    <w:p>
      <w:pPr>
        <w:adjustRightInd w:val="0"/>
        <w:snapToGrid w:val="0"/>
        <w:spacing w:line="286" w:lineRule="auto"/>
        <w:rPr>
          <w:sz w:val="18"/>
          <w:szCs w:val="18"/>
        </w:rPr>
      </w:pPr>
      <w:r>
        <w:rPr>
          <w:rFonts w:hint="eastAsia"/>
          <w:sz w:val="18"/>
          <w:szCs w:val="18"/>
        </w:rPr>
        <w:t>（2）其余债权类资产按市价法估值。市价法不能确定其公允价值的，采用估值技术进行估值。</w:t>
      </w:r>
    </w:p>
    <w:p>
      <w:pPr>
        <w:adjustRightInd w:val="0"/>
        <w:snapToGrid w:val="0"/>
        <w:spacing w:line="286" w:lineRule="auto"/>
        <w:rPr>
          <w:sz w:val="18"/>
          <w:szCs w:val="18"/>
        </w:rPr>
      </w:pPr>
      <w:r>
        <w:rPr>
          <w:rFonts w:hint="eastAsia"/>
          <w:sz w:val="18"/>
          <w:szCs w:val="18"/>
        </w:rPr>
        <w:t>4、基金、证券、保险等资产管理计划和信托计划等资产（不含货币市场基金）：</w:t>
      </w:r>
    </w:p>
    <w:p>
      <w:pPr>
        <w:adjustRightInd w:val="0"/>
        <w:snapToGrid w:val="0"/>
        <w:spacing w:line="286" w:lineRule="auto"/>
        <w:rPr>
          <w:sz w:val="18"/>
          <w:szCs w:val="18"/>
        </w:rPr>
      </w:pPr>
      <w:r>
        <w:rPr>
          <w:rFonts w:hint="eastAsia"/>
          <w:sz w:val="18"/>
          <w:szCs w:val="18"/>
        </w:rPr>
        <w:t>按照基金、证券、保险等资产管理计划和信托计划的管理人提供的最新净值或投资收益进行估值。</w:t>
      </w:r>
    </w:p>
    <w:p>
      <w:pPr>
        <w:adjustRightInd w:val="0"/>
        <w:snapToGrid w:val="0"/>
        <w:spacing w:line="286" w:lineRule="auto"/>
        <w:rPr>
          <w:sz w:val="18"/>
          <w:szCs w:val="18"/>
        </w:rPr>
      </w:pPr>
      <w:r>
        <w:rPr>
          <w:rFonts w:hint="eastAsia"/>
          <w:sz w:val="18"/>
          <w:szCs w:val="18"/>
        </w:rPr>
        <w:t>5、其他资产：</w:t>
      </w:r>
    </w:p>
    <w:p>
      <w:pPr>
        <w:adjustRightInd w:val="0"/>
        <w:snapToGrid w:val="0"/>
        <w:spacing w:line="286" w:lineRule="auto"/>
        <w:rPr>
          <w:sz w:val="18"/>
          <w:szCs w:val="18"/>
        </w:rPr>
      </w:pPr>
      <w:r>
        <w:rPr>
          <w:rFonts w:hint="eastAsia"/>
          <w:sz w:val="18"/>
          <w:szCs w:val="18"/>
        </w:rPr>
        <w:t>其他资产存在公允价值的，按照公允价值估值，公允价值不能确定的，经管理人和托管人合理判断后可采用其他估值技术对其进行估值。</w:t>
      </w:r>
    </w:p>
    <w:p>
      <w:pPr>
        <w:adjustRightInd w:val="0"/>
        <w:snapToGrid w:val="0"/>
        <w:spacing w:line="286" w:lineRule="auto"/>
        <w:rPr>
          <w:sz w:val="18"/>
          <w:szCs w:val="18"/>
        </w:rPr>
      </w:pPr>
      <w:r>
        <w:rPr>
          <w:rFonts w:hint="eastAsia"/>
          <w:sz w:val="18"/>
          <w:szCs w:val="18"/>
        </w:rPr>
        <w:t>6、其他事项</w:t>
      </w:r>
    </w:p>
    <w:p>
      <w:pPr>
        <w:adjustRightInd w:val="0"/>
        <w:snapToGrid w:val="0"/>
        <w:spacing w:line="286" w:lineRule="auto"/>
        <w:rPr>
          <w:sz w:val="18"/>
          <w:szCs w:val="18"/>
        </w:rPr>
      </w:pPr>
      <w:r>
        <w:rPr>
          <w:rFonts w:hint="eastAsia"/>
          <w:sz w:val="18"/>
          <w:szCs w:val="18"/>
        </w:rPr>
        <w:t xml:space="preserve">国家有最新规定的按其规定进行估值。当理财产品管理人或托管人认为按上述方法对理财产品进行估值不能客观反映其公允价值的，可以在协商一致后变更估值方法，并自协商一致日后执行。该产品估值均以产品公布的估值结果为准。 </w:t>
      </w:r>
    </w:p>
    <w:p>
      <w:pPr>
        <w:adjustRightInd w:val="0"/>
        <w:snapToGrid w:val="0"/>
        <w:spacing w:line="286" w:lineRule="auto"/>
        <w:rPr>
          <w:sz w:val="18"/>
          <w:szCs w:val="18"/>
        </w:rPr>
      </w:pPr>
      <w:r>
        <w:rPr>
          <w:rFonts w:hint="eastAsia"/>
          <w:sz w:val="18"/>
          <w:szCs w:val="18"/>
        </w:rPr>
        <w:t>【估值错误处理】</w:t>
      </w:r>
    </w:p>
    <w:p>
      <w:pPr>
        <w:adjustRightInd w:val="0"/>
        <w:snapToGrid w:val="0"/>
        <w:spacing w:line="286" w:lineRule="auto"/>
        <w:rPr>
          <w:sz w:val="18"/>
          <w:szCs w:val="18"/>
        </w:rPr>
      </w:pPr>
      <w:r>
        <w:rPr>
          <w:rFonts w:hint="eastAsia"/>
          <w:sz w:val="18"/>
          <w:szCs w:val="18"/>
        </w:rPr>
        <w:t>当产品单位净值小数点后4位以内（含第4位）发生错误时，视为估值错误。如投资管理人或理财托管人发现资产估值违反本说明书约定的估值方法、程序及相关法律法规的规定或者未能充分维护理财投资者利益或发生估值错误时，应立即通知对方，共同查明原因，协商解决，如经相关各方在平等基础上充分讨论后，仍无法达成一致意见，以投资管理人意见为准。当委托财产估值提交理财投资者后发现存在错误时，投资管理人和理财托管人应该立即报告理财投资者并及时更正。因估值错误而获得不当得利的当事人负有及时返还不当得利的义务。</w:t>
      </w:r>
    </w:p>
    <w:p>
      <w:pPr>
        <w:adjustRightInd w:val="0"/>
        <w:snapToGrid w:val="0"/>
        <w:spacing w:line="286" w:lineRule="auto"/>
        <w:rPr>
          <w:sz w:val="18"/>
          <w:szCs w:val="18"/>
        </w:rPr>
      </w:pPr>
      <w:r>
        <w:rPr>
          <w:rFonts w:hint="eastAsia"/>
          <w:sz w:val="18"/>
          <w:szCs w:val="18"/>
        </w:rPr>
        <w:t>由于本理财计划估值所用的数据来源出现错误，或由于其它不可抗力原因，理财计划管理人和托管人虽然已采取必要、适当、合理的措施进行检查，但是未能发现该错误的，由此造成的估值错误，理财计划管理人和托管人免除赔偿责任。</w:t>
      </w:r>
    </w:p>
    <w:p>
      <w:pPr>
        <w:adjustRightInd w:val="0"/>
        <w:snapToGrid w:val="0"/>
        <w:spacing w:line="286" w:lineRule="auto"/>
        <w:rPr>
          <w:sz w:val="18"/>
          <w:szCs w:val="18"/>
        </w:rPr>
      </w:pPr>
      <w:r>
        <w:rPr>
          <w:rFonts w:hint="eastAsia"/>
          <w:sz w:val="18"/>
          <w:szCs w:val="18"/>
        </w:rPr>
        <w:t>【暂停估值】</w:t>
      </w:r>
    </w:p>
    <w:p>
      <w:pPr>
        <w:adjustRightInd w:val="0"/>
        <w:snapToGrid w:val="0"/>
        <w:spacing w:line="286" w:lineRule="auto"/>
        <w:rPr>
          <w:sz w:val="18"/>
          <w:szCs w:val="18"/>
        </w:rPr>
      </w:pPr>
      <w:r>
        <w:rPr>
          <w:rFonts w:hint="eastAsia"/>
          <w:sz w:val="18"/>
          <w:szCs w:val="18"/>
        </w:rPr>
        <w:t>本理财计划可暂停估值的情形如下：</w:t>
      </w:r>
    </w:p>
    <w:p>
      <w:pPr>
        <w:adjustRightInd w:val="0"/>
        <w:snapToGrid w:val="0"/>
        <w:spacing w:line="286" w:lineRule="auto"/>
        <w:rPr>
          <w:sz w:val="18"/>
          <w:szCs w:val="18"/>
        </w:rPr>
      </w:pPr>
      <w:r>
        <w:rPr>
          <w:rFonts w:hint="eastAsia"/>
          <w:sz w:val="18"/>
          <w:szCs w:val="18"/>
        </w:rPr>
        <w:t>1、理财产品投资所涉及的交易市场遇法定节假日或其他原因暂停营业时。</w:t>
      </w:r>
    </w:p>
    <w:p>
      <w:pPr>
        <w:adjustRightInd w:val="0"/>
        <w:snapToGrid w:val="0"/>
        <w:spacing w:line="286" w:lineRule="auto"/>
        <w:rPr>
          <w:sz w:val="18"/>
          <w:szCs w:val="18"/>
        </w:rPr>
      </w:pPr>
      <w:r>
        <w:rPr>
          <w:rFonts w:hint="eastAsia"/>
          <w:sz w:val="18"/>
          <w:szCs w:val="18"/>
        </w:rPr>
        <w:t>2、因任何不可抗力或其他情形致使理财计划管理人、托管人无法准确评估资产价值时。</w:t>
      </w:r>
    </w:p>
    <w:p>
      <w:pPr>
        <w:adjustRightInd w:val="0"/>
        <w:snapToGrid w:val="0"/>
        <w:spacing w:line="286" w:lineRule="auto"/>
        <w:rPr>
          <w:sz w:val="18"/>
          <w:szCs w:val="18"/>
        </w:rPr>
      </w:pPr>
      <w:r>
        <w:rPr>
          <w:rFonts w:hint="eastAsia"/>
          <w:sz w:val="18"/>
          <w:szCs w:val="18"/>
        </w:rPr>
        <w:t>3、当前一估值日理财计划资产净值50%以上的资产不具备活跃交易市场或者在活跃市场中无报价，且不能采用估值技术可靠计量公允价值时。</w:t>
      </w:r>
    </w:p>
    <w:p>
      <w:pPr>
        <w:adjustRightInd w:val="0"/>
        <w:snapToGrid w:val="0"/>
        <w:spacing w:line="286" w:lineRule="auto"/>
        <w:rPr>
          <w:sz w:val="18"/>
          <w:szCs w:val="18"/>
        </w:rPr>
      </w:pPr>
      <w:r>
        <w:rPr>
          <w:rFonts w:hint="eastAsia"/>
          <w:sz w:val="18"/>
          <w:szCs w:val="18"/>
        </w:rPr>
        <w:t>4、存在监管机构认定的导致无法准确估值的其它情形，或理财计划管理人、托管人有合理理由认为将影响理财计划估值的其他情形。</w:t>
      </w:r>
    </w:p>
    <w:p>
      <w:pPr>
        <w:adjustRightInd w:val="0"/>
        <w:snapToGrid w:val="0"/>
        <w:spacing w:line="286" w:lineRule="auto"/>
        <w:rPr>
          <w:sz w:val="18"/>
          <w:szCs w:val="18"/>
        </w:rPr>
      </w:pPr>
      <w:r>
        <w:rPr>
          <w:rFonts w:hint="eastAsia"/>
          <w:sz w:val="18"/>
          <w:szCs w:val="18"/>
        </w:rPr>
        <w:t>因上述情形暂停估值造成的损失，产品管理人和托管人不承担责任。</w:t>
      </w:r>
    </w:p>
    <w:p>
      <w:pPr>
        <w:adjustRightInd w:val="0"/>
        <w:snapToGrid w:val="0"/>
        <w:spacing w:line="286" w:lineRule="auto"/>
        <w:rPr>
          <w:b/>
          <w:sz w:val="18"/>
          <w:szCs w:val="18"/>
        </w:rPr>
      </w:pPr>
      <w:r>
        <w:rPr>
          <w:rFonts w:hint="eastAsia"/>
          <w:b/>
          <w:sz w:val="18"/>
          <w:szCs w:val="18"/>
        </w:rPr>
        <w:t>理财收益测算及相关费用</w:t>
      </w:r>
    </w:p>
    <w:p>
      <w:pPr>
        <w:adjustRightInd w:val="0"/>
        <w:snapToGrid w:val="0"/>
        <w:spacing w:line="286" w:lineRule="auto"/>
        <w:rPr>
          <w:sz w:val="18"/>
          <w:szCs w:val="18"/>
        </w:rPr>
      </w:pPr>
      <w:r>
        <w:rPr>
          <w:rFonts w:hint="eastAsia"/>
          <w:sz w:val="18"/>
          <w:szCs w:val="18"/>
        </w:rPr>
        <w:t>【业绩比较基准】</w:t>
      </w:r>
    </w:p>
    <w:p>
      <w:pPr>
        <w:adjustRightInd w:val="0"/>
        <w:snapToGrid w:val="0"/>
        <w:spacing w:line="286" w:lineRule="auto"/>
        <w:rPr>
          <w:sz w:val="18"/>
          <w:szCs w:val="18"/>
        </w:rPr>
      </w:pPr>
      <w:r>
        <w:rPr>
          <w:rFonts w:hint="eastAsia"/>
          <w:sz w:val="18"/>
          <w:szCs w:val="18"/>
        </w:rPr>
        <w:t>本产品业绩比较基准仅作为计提产品浮动管理费的依据，不构成温州银行对该理财产品的任何收益承诺。</w:t>
      </w:r>
      <w:r>
        <w:rPr>
          <w:sz w:val="18"/>
          <w:szCs w:val="18"/>
        </w:rPr>
        <w:t>本理财产品成立后，</w:t>
      </w:r>
      <w:r>
        <w:rPr>
          <w:rFonts w:hint="eastAsia"/>
          <w:sz w:val="18"/>
          <w:szCs w:val="18"/>
        </w:rPr>
        <w:t>温州</w:t>
      </w:r>
      <w:r>
        <w:rPr>
          <w:sz w:val="18"/>
          <w:szCs w:val="18"/>
        </w:rPr>
        <w:t>银行将至少在投资周期产品预约申购期开始前一个工作日公布本理财产品在</w:t>
      </w:r>
      <w:r>
        <w:rPr>
          <w:rFonts w:hint="eastAsia"/>
          <w:sz w:val="18"/>
          <w:szCs w:val="18"/>
        </w:rPr>
        <w:t>下一</w:t>
      </w:r>
      <w:r>
        <w:rPr>
          <w:sz w:val="18"/>
          <w:szCs w:val="18"/>
        </w:rPr>
        <w:t>投资周期的</w:t>
      </w:r>
      <w:r>
        <w:rPr>
          <w:rFonts w:hint="eastAsia"/>
          <w:sz w:val="18"/>
          <w:szCs w:val="18"/>
        </w:rPr>
        <w:t>业绩比较基准</w:t>
      </w:r>
      <w:r>
        <w:rPr>
          <w:sz w:val="18"/>
          <w:szCs w:val="18"/>
        </w:rPr>
        <w:t>。在该投资周期购买的客户详见</w:t>
      </w:r>
      <w:r>
        <w:rPr>
          <w:rFonts w:hint="eastAsia"/>
          <w:sz w:val="18"/>
          <w:szCs w:val="18"/>
        </w:rPr>
        <w:t>《温州银行“金鹿理财-普惠</w:t>
      </w:r>
      <w:r>
        <w:rPr>
          <w:rFonts w:hint="eastAsia"/>
          <w:sz w:val="18"/>
          <w:szCs w:val="18"/>
          <w:lang w:eastAsia="zh-CN"/>
        </w:rPr>
        <w:t>季享”6号</w:t>
      </w:r>
      <w:r>
        <w:rPr>
          <w:rFonts w:hint="eastAsia"/>
          <w:sz w:val="18"/>
          <w:szCs w:val="18"/>
        </w:rPr>
        <w:t>开放式净值型（第i期）银行理财计划开放认购（申购）申请书》。投资运作周期到期时，该周期内的资金收益情况根据所投资资产组合的实际运作情况确定。</w:t>
      </w:r>
    </w:p>
    <w:p>
      <w:pPr>
        <w:adjustRightInd w:val="0"/>
        <w:snapToGrid w:val="0"/>
        <w:spacing w:line="286" w:lineRule="auto"/>
        <w:rPr>
          <w:sz w:val="18"/>
          <w:szCs w:val="18"/>
        </w:rPr>
      </w:pPr>
      <w:r>
        <w:rPr>
          <w:rFonts w:hint="eastAsia"/>
          <w:sz w:val="18"/>
          <w:szCs w:val="18"/>
        </w:rPr>
        <w:t>【理财产品单位净值】</w:t>
      </w:r>
    </w:p>
    <w:p>
      <w:pPr>
        <w:adjustRightInd w:val="0"/>
        <w:snapToGrid w:val="0"/>
        <w:spacing w:line="286" w:lineRule="auto"/>
        <w:rPr>
          <w:sz w:val="18"/>
          <w:szCs w:val="18"/>
        </w:rPr>
      </w:pPr>
      <w:r>
        <w:rPr>
          <w:rFonts w:hint="eastAsia"/>
          <w:sz w:val="18"/>
          <w:szCs w:val="18"/>
        </w:rPr>
        <w:t>理财产品单位净值=理财产品净值÷理财产品份额</w:t>
      </w:r>
    </w:p>
    <w:p>
      <w:pPr>
        <w:adjustRightInd w:val="0"/>
        <w:snapToGrid w:val="0"/>
        <w:spacing w:line="286" w:lineRule="auto"/>
        <w:rPr>
          <w:sz w:val="18"/>
          <w:szCs w:val="18"/>
        </w:rPr>
      </w:pPr>
      <w:r>
        <w:rPr>
          <w:rFonts w:hint="eastAsia"/>
          <w:sz w:val="18"/>
          <w:szCs w:val="18"/>
        </w:rPr>
        <w:t>理财产品单位净值为提取相关费用后的净值，客户按该单位净值进行产品周期清算/到期终止清算时的分配。</w:t>
      </w:r>
    </w:p>
    <w:p>
      <w:pPr>
        <w:adjustRightInd w:val="0"/>
        <w:snapToGrid w:val="0"/>
        <w:spacing w:line="286" w:lineRule="auto"/>
        <w:rPr>
          <w:sz w:val="18"/>
          <w:szCs w:val="18"/>
        </w:rPr>
      </w:pPr>
      <w:r>
        <w:rPr>
          <w:rFonts w:hint="eastAsia"/>
          <w:sz w:val="18"/>
          <w:szCs w:val="18"/>
        </w:rPr>
        <w:t>【理财计划申购、赎回】</w:t>
      </w:r>
    </w:p>
    <w:p>
      <w:pPr>
        <w:adjustRightInd w:val="0"/>
        <w:snapToGrid w:val="0"/>
        <w:spacing w:line="286" w:lineRule="auto"/>
        <w:rPr>
          <w:sz w:val="18"/>
          <w:szCs w:val="18"/>
        </w:rPr>
      </w:pPr>
      <w:r>
        <w:rPr>
          <w:sz w:val="18"/>
          <w:szCs w:val="18"/>
        </w:rPr>
        <w:t>1.投资</w:t>
      </w:r>
      <w:r>
        <w:rPr>
          <w:rFonts w:hint="eastAsia"/>
          <w:sz w:val="18"/>
          <w:szCs w:val="18"/>
        </w:rPr>
        <w:t>运作</w:t>
      </w:r>
      <w:r>
        <w:rPr>
          <w:sz w:val="18"/>
          <w:szCs w:val="18"/>
        </w:rPr>
        <w:t>周期</w:t>
      </w:r>
      <w:r>
        <w:rPr>
          <w:rFonts w:hint="eastAsia"/>
          <w:sz w:val="18"/>
          <w:szCs w:val="18"/>
        </w:rPr>
        <w:t>：本理财计划成立日为</w:t>
      </w:r>
      <w:r>
        <w:rPr>
          <w:rFonts w:hint="eastAsia"/>
          <w:color w:val="000000"/>
          <w:sz w:val="18"/>
          <w:szCs w:val="18"/>
        </w:rPr>
        <w:t>2021年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6</w:t>
      </w:r>
      <w:r>
        <w:rPr>
          <w:rFonts w:hint="eastAsia"/>
          <w:color w:val="000000"/>
          <w:sz w:val="18"/>
          <w:szCs w:val="18"/>
        </w:rPr>
        <w:t>日</w:t>
      </w:r>
      <w:r>
        <w:rPr>
          <w:rFonts w:hint="eastAsia"/>
          <w:sz w:val="18"/>
          <w:szCs w:val="18"/>
        </w:rPr>
        <w:t>，从成立日起，每</w:t>
      </w:r>
      <w:r>
        <w:rPr>
          <w:rFonts w:hint="eastAsia" w:ascii="宋体" w:hAnsi="宋体"/>
          <w:sz w:val="18"/>
          <w:lang w:eastAsia="zh-CN"/>
        </w:rPr>
        <w:t>【94】</w:t>
      </w:r>
      <w:r>
        <w:rPr>
          <w:rFonts w:ascii="宋体" w:hAnsi="宋体"/>
          <w:sz w:val="18"/>
        </w:rPr>
        <w:t>天</w:t>
      </w:r>
      <w:r>
        <w:rPr>
          <w:rFonts w:hint="eastAsia"/>
          <w:sz w:val="18"/>
          <w:szCs w:val="18"/>
        </w:rPr>
        <w:t>为一个投资运作周期</w:t>
      </w:r>
      <w:r>
        <w:rPr>
          <w:rFonts w:ascii="宋体" w:hAnsi="宋体"/>
          <w:sz w:val="18"/>
        </w:rPr>
        <w:t>，</w:t>
      </w:r>
      <w:r>
        <w:rPr>
          <w:rFonts w:hint="eastAsia" w:ascii="宋体" w:hAnsi="宋体"/>
          <w:sz w:val="18"/>
        </w:rPr>
        <w:t>在本理财计划存续期内开放的其他</w:t>
      </w:r>
      <w:r>
        <w:rPr>
          <w:rFonts w:ascii="宋体" w:hAnsi="宋体"/>
          <w:sz w:val="18"/>
        </w:rPr>
        <w:t>投资周期可能会因非工作日调整大于或小于</w:t>
      </w:r>
      <w:r>
        <w:rPr>
          <w:rFonts w:hint="eastAsia" w:ascii="宋体" w:hAnsi="宋体"/>
          <w:sz w:val="18"/>
          <w:lang w:eastAsia="zh-CN"/>
        </w:rPr>
        <w:t>【94】</w:t>
      </w:r>
      <w:r>
        <w:rPr>
          <w:rFonts w:ascii="宋体" w:hAnsi="宋体"/>
          <w:sz w:val="18"/>
        </w:rPr>
        <w:t>天</w:t>
      </w:r>
      <w:r>
        <w:rPr>
          <w:rFonts w:hint="eastAsia"/>
          <w:sz w:val="18"/>
          <w:szCs w:val="18"/>
        </w:rPr>
        <w:t>。</w:t>
      </w:r>
    </w:p>
    <w:p>
      <w:pPr>
        <w:adjustRightInd w:val="0"/>
        <w:snapToGrid w:val="0"/>
        <w:spacing w:line="286" w:lineRule="auto"/>
        <w:rPr>
          <w:sz w:val="18"/>
          <w:szCs w:val="18"/>
        </w:rPr>
      </w:pPr>
      <w:r>
        <w:rPr>
          <w:sz w:val="18"/>
          <w:szCs w:val="18"/>
        </w:rPr>
        <w:t>2.</w:t>
      </w:r>
      <w:r>
        <w:rPr>
          <w:rFonts w:hint="eastAsia"/>
          <w:sz w:val="18"/>
          <w:szCs w:val="18"/>
        </w:rPr>
        <w:t>申购、赎回期：本理财计划存续期内，投资者可在每个投资运作周期的开放期内，向温州银行提交预约申购或预约赎回申请，申购、赎回确认日即为下个投资运作周期的起始日。</w:t>
      </w:r>
    </w:p>
    <w:p>
      <w:pPr>
        <w:adjustRightInd w:val="0"/>
        <w:snapToGrid w:val="0"/>
        <w:spacing w:line="286" w:lineRule="auto"/>
        <w:rPr>
          <w:sz w:val="18"/>
          <w:szCs w:val="18"/>
        </w:rPr>
      </w:pPr>
      <w:r>
        <w:rPr>
          <w:sz w:val="18"/>
          <w:szCs w:val="18"/>
        </w:rPr>
        <w:t>3.</w:t>
      </w:r>
      <w:r>
        <w:rPr>
          <w:rFonts w:hint="eastAsia"/>
          <w:sz w:val="18"/>
          <w:szCs w:val="18"/>
        </w:rPr>
        <w:t>申购、赎回原则</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）投资者赎回本理财计划时，温州银行不承诺保证本金，也不承诺任何收益。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）本理财计划在每个开放期的工作时间可以提交申购和赎回申请，交易申请将在本次开放期后的第一个确认日确认。</w:t>
      </w:r>
      <w:r>
        <w:rPr>
          <w:sz w:val="18"/>
          <w:szCs w:val="18"/>
        </w:rPr>
        <w:t xml:space="preserve"> </w:t>
      </w:r>
    </w:p>
    <w:p>
      <w:pPr>
        <w:adjustRightInd w:val="0"/>
        <w:snapToGrid w:val="0"/>
        <w:spacing w:line="286" w:lineRule="auto"/>
        <w:rPr>
          <w:sz w:val="18"/>
          <w:szCs w:val="18"/>
        </w:rPr>
      </w:pPr>
      <w:r>
        <w:rPr>
          <w:rFonts w:hint="eastAsia"/>
          <w:sz w:val="18"/>
          <w:szCs w:val="18"/>
        </w:rPr>
        <w:t>（</w:t>
      </w:r>
      <w:r>
        <w:rPr>
          <w:sz w:val="18"/>
          <w:szCs w:val="18"/>
        </w:rPr>
        <w:t>3</w:t>
      </w:r>
      <w:r>
        <w:rPr>
          <w:rFonts w:hint="eastAsia"/>
          <w:sz w:val="18"/>
          <w:szCs w:val="18"/>
        </w:rPr>
        <w:t>）本理财计划采用金额申购、份额赎回的原则，即申购以金额申请，赎回以份额赎回。</w:t>
      </w:r>
    </w:p>
    <w:p>
      <w:pPr>
        <w:adjustRightInd w:val="0"/>
        <w:snapToGrid w:val="0"/>
        <w:spacing w:line="286" w:lineRule="auto"/>
        <w:rPr>
          <w:sz w:val="18"/>
          <w:szCs w:val="18"/>
        </w:rPr>
      </w:pPr>
      <w:r>
        <w:rPr>
          <w:rFonts w:hint="eastAsia"/>
          <w:sz w:val="18"/>
          <w:szCs w:val="18"/>
        </w:rPr>
        <w:t>（</w:t>
      </w:r>
      <w:r>
        <w:rPr>
          <w:sz w:val="18"/>
          <w:szCs w:val="18"/>
        </w:rPr>
        <w:t>4</w:t>
      </w:r>
      <w:r>
        <w:rPr>
          <w:rFonts w:hint="eastAsia"/>
          <w:sz w:val="18"/>
          <w:szCs w:val="18"/>
        </w:rPr>
        <w:t>）因不可抗力导致理财计划无法继续申购或赎回时，温州银行有权拒绝或暂停接受投资者的申购或赎回的申请，对已接受的赎回申请可延期支付赎回款项。</w:t>
      </w:r>
    </w:p>
    <w:p>
      <w:pPr>
        <w:adjustRightInd w:val="0"/>
        <w:snapToGrid w:val="0"/>
        <w:spacing w:line="286" w:lineRule="auto"/>
        <w:rPr>
          <w:sz w:val="18"/>
          <w:szCs w:val="18"/>
        </w:rPr>
      </w:pPr>
      <w:r>
        <w:rPr>
          <w:rFonts w:hint="eastAsia"/>
          <w:sz w:val="18"/>
          <w:szCs w:val="18"/>
        </w:rPr>
        <w:t>（</w:t>
      </w:r>
      <w:r>
        <w:rPr>
          <w:sz w:val="18"/>
          <w:szCs w:val="18"/>
        </w:rPr>
        <w:t>5</w:t>
      </w:r>
      <w:r>
        <w:rPr>
          <w:rFonts w:hint="eastAsia"/>
          <w:sz w:val="18"/>
          <w:szCs w:val="18"/>
        </w:rPr>
        <w:t>）投资者可于开放期内向温州银行提出赎回申请，温州银行按照先申请、先赎回原则确认赎回申请，如该赎回日内净赎回份额合计超过理财产品总份额的2</w:t>
      </w:r>
      <w:r>
        <w:rPr>
          <w:sz w:val="18"/>
          <w:szCs w:val="18"/>
        </w:rPr>
        <w:t>0%，则发生</w:t>
      </w:r>
      <w:r>
        <w:rPr>
          <w:rFonts w:hint="eastAsia"/>
          <w:sz w:val="18"/>
          <w:szCs w:val="18"/>
        </w:rPr>
        <w:t>巨额赎回事件，温州银行有权拒绝接受超过2</w:t>
      </w:r>
      <w:r>
        <w:rPr>
          <w:sz w:val="18"/>
          <w:szCs w:val="18"/>
        </w:rPr>
        <w:t>0%以上部分的赎回申请。</w:t>
      </w:r>
    </w:p>
    <w:p>
      <w:pPr>
        <w:adjustRightInd w:val="0"/>
        <w:snapToGrid w:val="0"/>
        <w:spacing w:line="286" w:lineRule="auto"/>
        <w:rPr>
          <w:sz w:val="18"/>
          <w:szCs w:val="18"/>
        </w:rPr>
      </w:pPr>
      <w:r>
        <w:rPr>
          <w:rFonts w:hint="eastAsia"/>
          <w:sz w:val="18"/>
          <w:szCs w:val="18"/>
        </w:rPr>
        <w:t>示例：如果最新理财计划总存续份额为1</w:t>
      </w:r>
      <w:r>
        <w:rPr>
          <w:sz w:val="18"/>
          <w:szCs w:val="18"/>
        </w:rPr>
        <w:t>0</w:t>
      </w:r>
      <w:r>
        <w:rPr>
          <w:rFonts w:hint="eastAsia"/>
          <w:sz w:val="18"/>
          <w:szCs w:val="18"/>
        </w:rPr>
        <w:t>亿份，在开放期内投资者净赎回达到</w:t>
      </w:r>
      <w:r>
        <w:rPr>
          <w:sz w:val="18"/>
          <w:szCs w:val="18"/>
        </w:rPr>
        <w:t>2</w:t>
      </w:r>
      <w:r>
        <w:rPr>
          <w:rFonts w:hint="eastAsia"/>
          <w:sz w:val="18"/>
          <w:szCs w:val="18"/>
        </w:rPr>
        <w:t>亿份，温州银行有权拒绝确认</w:t>
      </w:r>
      <w:r>
        <w:rPr>
          <w:sz w:val="18"/>
          <w:szCs w:val="18"/>
        </w:rPr>
        <w:t>2</w:t>
      </w:r>
      <w:r>
        <w:rPr>
          <w:rFonts w:hint="eastAsia"/>
          <w:sz w:val="18"/>
          <w:szCs w:val="18"/>
        </w:rPr>
        <w:t>亿份之后的赎回申请，相应的投资者当期无法赎回理财计划份额。</w:t>
      </w:r>
    </w:p>
    <w:p>
      <w:pPr>
        <w:adjustRightInd w:val="0"/>
        <w:snapToGrid w:val="0"/>
        <w:spacing w:line="286" w:lineRule="auto"/>
        <w:rPr>
          <w:sz w:val="18"/>
          <w:szCs w:val="18"/>
        </w:rPr>
      </w:pPr>
      <w:r>
        <w:rPr>
          <w:rFonts w:hint="eastAsia"/>
          <w:sz w:val="18"/>
          <w:szCs w:val="18"/>
        </w:rPr>
        <w:t>（</w:t>
      </w:r>
      <w:r>
        <w:rPr>
          <w:sz w:val="18"/>
          <w:szCs w:val="18"/>
        </w:rPr>
        <w:t>6</w:t>
      </w:r>
      <w:r>
        <w:rPr>
          <w:rFonts w:hint="eastAsia"/>
          <w:sz w:val="18"/>
          <w:szCs w:val="18"/>
        </w:rPr>
        <w:t>）投资者可于申购期间向温州银行提出申购申请，温州银行按照先申请、先申购原则确认申购申请，如申购日累计申购份额已达到产品规模上限，则温州银行有权确认拒绝超出产品规模上限部分的申购申请。</w:t>
      </w:r>
    </w:p>
    <w:p>
      <w:pPr>
        <w:adjustRightInd w:val="0"/>
        <w:snapToGrid w:val="0"/>
        <w:spacing w:line="286" w:lineRule="auto"/>
        <w:rPr>
          <w:sz w:val="18"/>
          <w:szCs w:val="18"/>
        </w:rPr>
      </w:pPr>
      <w:r>
        <w:rPr>
          <w:rFonts w:hint="eastAsia"/>
          <w:sz w:val="18"/>
          <w:szCs w:val="18"/>
        </w:rPr>
        <w:t>（</w:t>
      </w:r>
      <w:r>
        <w:rPr>
          <w:sz w:val="18"/>
          <w:szCs w:val="18"/>
        </w:rPr>
        <w:t>7</w:t>
      </w:r>
      <w:r>
        <w:rPr>
          <w:rFonts w:hint="eastAsia"/>
          <w:sz w:val="18"/>
          <w:szCs w:val="18"/>
        </w:rPr>
        <w:t>）投资者有权部分或全部赎回理财计划份额。全部赎回理财计划份额后，投资者如需再次申购，则申购的金额不得低于人民币</w:t>
      </w:r>
      <w:r>
        <w:rPr>
          <w:sz w:val="18"/>
          <w:szCs w:val="18"/>
        </w:rPr>
        <w:fldChar w:fldCharType="begin"/>
      </w:r>
      <w:r>
        <w:rPr>
          <w:sz w:val="18"/>
          <w:szCs w:val="18"/>
        </w:rPr>
        <w:instrText xml:space="preserve"> MERGEFIELD </w:instrText>
      </w:r>
      <w:r>
        <w:rPr>
          <w:rFonts w:hint="eastAsia"/>
          <w:sz w:val="18"/>
          <w:szCs w:val="18"/>
        </w:rPr>
        <w:instrText xml:space="preserve">认购起点</w:instrText>
      </w:r>
      <w:r>
        <w:rPr>
          <w:sz w:val="18"/>
          <w:szCs w:val="18"/>
        </w:rPr>
        <w:fldChar w:fldCharType="separate"/>
      </w:r>
      <w:r>
        <w:rPr>
          <w:sz w:val="18"/>
          <w:szCs w:val="18"/>
        </w:rPr>
        <w:t>1</w:t>
      </w:r>
      <w:r>
        <w:rPr>
          <w:rFonts w:hint="eastAsia"/>
          <w:sz w:val="18"/>
          <w:szCs w:val="18"/>
        </w:rPr>
        <w:t>万</w:t>
      </w:r>
      <w:r>
        <w:rPr>
          <w:sz w:val="18"/>
          <w:szCs w:val="18"/>
        </w:rPr>
        <w:fldChar w:fldCharType="end"/>
      </w:r>
      <w:r>
        <w:rPr>
          <w:rFonts w:hint="eastAsia"/>
          <w:sz w:val="18"/>
          <w:szCs w:val="18"/>
        </w:rPr>
        <w:t>元。部分赎回理财计划份额后，投资者如需再行申购，则申购最低金额为人民币</w:t>
      </w:r>
      <w:r>
        <w:rPr>
          <w:sz w:val="18"/>
          <w:szCs w:val="18"/>
        </w:rPr>
        <w:t>1</w:t>
      </w:r>
      <w:r>
        <w:rPr>
          <w:rFonts w:hint="eastAsia"/>
          <w:sz w:val="18"/>
          <w:szCs w:val="18"/>
        </w:rPr>
        <w:t>千元或人民币</w:t>
      </w:r>
      <w:r>
        <w:rPr>
          <w:sz w:val="18"/>
          <w:szCs w:val="18"/>
        </w:rPr>
        <w:t>1</w:t>
      </w:r>
      <w:r>
        <w:rPr>
          <w:rFonts w:hint="eastAsia"/>
          <w:sz w:val="18"/>
          <w:szCs w:val="18"/>
        </w:rPr>
        <w:t>千元的整数倍。</w:t>
      </w:r>
    </w:p>
    <w:p>
      <w:pPr>
        <w:adjustRightInd w:val="0"/>
        <w:snapToGrid w:val="0"/>
        <w:spacing w:line="286" w:lineRule="auto"/>
        <w:rPr>
          <w:sz w:val="18"/>
          <w:szCs w:val="18"/>
        </w:rPr>
      </w:pPr>
      <w:r>
        <w:rPr>
          <w:rFonts w:hint="eastAsia"/>
          <w:sz w:val="18"/>
          <w:szCs w:val="18"/>
        </w:rPr>
        <w:t>（</w:t>
      </w:r>
      <w:r>
        <w:rPr>
          <w:sz w:val="18"/>
          <w:szCs w:val="18"/>
        </w:rPr>
        <w:t>8</w:t>
      </w:r>
      <w:r>
        <w:rPr>
          <w:rFonts w:hint="eastAsia"/>
          <w:sz w:val="18"/>
          <w:szCs w:val="18"/>
        </w:rPr>
        <w:t>）投资者在申购、赎回期内</w:t>
      </w:r>
      <w:r>
        <w:rPr>
          <w:sz w:val="18"/>
          <w:szCs w:val="18"/>
        </w:rPr>
        <w:t>提交的申购、赎回申请，在</w:t>
      </w:r>
      <w:r>
        <w:rPr>
          <w:rFonts w:hint="eastAsia"/>
          <w:sz w:val="18"/>
          <w:szCs w:val="18"/>
        </w:rPr>
        <w:t>被温州银行确认成功之前</w:t>
      </w:r>
      <w:r>
        <w:rPr>
          <w:sz w:val="18"/>
          <w:szCs w:val="18"/>
        </w:rPr>
        <w:t>的</w:t>
      </w:r>
      <w:r>
        <w:rPr>
          <w:rFonts w:hint="eastAsia"/>
          <w:sz w:val="18"/>
          <w:szCs w:val="18"/>
        </w:rPr>
        <w:t>开放日</w:t>
      </w:r>
      <w:r>
        <w:rPr>
          <w:sz w:val="18"/>
          <w:szCs w:val="18"/>
        </w:rPr>
        <w:t>的</w:t>
      </w:r>
      <w:r>
        <w:rPr>
          <w:rFonts w:hint="eastAsia"/>
          <w:sz w:val="18"/>
          <w:szCs w:val="18"/>
        </w:rPr>
        <w:t>交易</w:t>
      </w:r>
      <w:r>
        <w:rPr>
          <w:sz w:val="18"/>
          <w:szCs w:val="18"/>
        </w:rPr>
        <w:t>时间内</w:t>
      </w:r>
      <w:r>
        <w:rPr>
          <w:rFonts w:hint="eastAsia"/>
          <w:sz w:val="18"/>
          <w:szCs w:val="18"/>
        </w:rPr>
        <w:t>，可以撤销。</w:t>
      </w:r>
    </w:p>
    <w:p>
      <w:pPr>
        <w:adjustRightInd w:val="0"/>
        <w:snapToGrid w:val="0"/>
        <w:spacing w:line="286" w:lineRule="auto"/>
        <w:rPr>
          <w:sz w:val="18"/>
          <w:szCs w:val="18"/>
        </w:rPr>
      </w:pPr>
      <w:r>
        <w:rPr>
          <w:rFonts w:hint="eastAsia"/>
          <w:sz w:val="18"/>
          <w:szCs w:val="18"/>
        </w:rPr>
        <w:t>（</w:t>
      </w:r>
      <w:r>
        <w:rPr>
          <w:sz w:val="18"/>
          <w:szCs w:val="18"/>
        </w:rPr>
        <w:t>9</w:t>
      </w:r>
      <w:r>
        <w:rPr>
          <w:rFonts w:hint="eastAsia"/>
          <w:sz w:val="18"/>
          <w:szCs w:val="18"/>
        </w:rPr>
        <w:t>）如赎回将导致单个投资者的理财计划份额余额不足</w:t>
      </w:r>
      <w:r>
        <w:rPr>
          <w:sz w:val="18"/>
          <w:szCs w:val="18"/>
        </w:rPr>
        <w:t>10000</w:t>
      </w:r>
      <w:r>
        <w:rPr>
          <w:sz w:val="18"/>
          <w:szCs w:val="18"/>
        </w:rPr>
        <w:fldChar w:fldCharType="begin"/>
      </w:r>
      <w:r>
        <w:rPr>
          <w:sz w:val="18"/>
          <w:szCs w:val="18"/>
        </w:rPr>
        <w:instrText xml:space="preserve"> MERGEFIELD </w:instrText>
      </w:r>
      <w:r>
        <w:rPr>
          <w:rFonts w:hint="eastAsia"/>
          <w:sz w:val="18"/>
          <w:szCs w:val="18"/>
        </w:rPr>
        <w:instrText xml:space="preserve">余额起点</w:instrText>
      </w:r>
      <w:r>
        <w:rPr>
          <w:sz w:val="18"/>
          <w:szCs w:val="18"/>
        </w:rPr>
        <w:fldChar w:fldCharType="end"/>
      </w:r>
      <w:r>
        <w:rPr>
          <w:rFonts w:hint="eastAsia"/>
          <w:sz w:val="18"/>
          <w:szCs w:val="18"/>
        </w:rPr>
        <w:t>份时，投资者剩余份额将被一次性全额赎回。</w:t>
      </w:r>
    </w:p>
    <w:p>
      <w:pPr>
        <w:adjustRightInd w:val="0"/>
        <w:snapToGrid w:val="0"/>
        <w:spacing w:line="286" w:lineRule="auto"/>
        <w:rPr>
          <w:sz w:val="18"/>
          <w:szCs w:val="18"/>
        </w:rPr>
      </w:pPr>
      <w:r>
        <w:rPr>
          <w:rFonts w:hint="eastAsia"/>
          <w:sz w:val="18"/>
          <w:szCs w:val="18"/>
        </w:rPr>
        <w:t>（10）巨额赎回：</w:t>
      </w:r>
    </w:p>
    <w:p>
      <w:pPr>
        <w:adjustRightInd w:val="0"/>
        <w:snapToGrid w:val="0"/>
        <w:spacing w:line="286" w:lineRule="auto"/>
        <w:rPr>
          <w:sz w:val="18"/>
          <w:szCs w:val="18"/>
        </w:rPr>
      </w:pPr>
      <w:r>
        <w:rPr>
          <w:rFonts w:hint="eastAsia" w:ascii="Calibri" w:hAnsi="Calibri" w:cs="Calibri"/>
          <w:sz w:val="18"/>
          <w:szCs w:val="18"/>
        </w:rPr>
        <w:t>1）</w:t>
      </w:r>
      <w:r>
        <w:rPr>
          <w:rFonts w:hint="eastAsia"/>
          <w:sz w:val="18"/>
          <w:szCs w:val="18"/>
        </w:rPr>
        <w:t>巨额赎回认定</w:t>
      </w:r>
    </w:p>
    <w:p>
      <w:pPr>
        <w:adjustRightInd w:val="0"/>
        <w:snapToGrid w:val="0"/>
        <w:spacing w:line="286" w:lineRule="auto"/>
        <w:rPr>
          <w:sz w:val="18"/>
          <w:szCs w:val="18"/>
        </w:rPr>
      </w:pPr>
      <w:r>
        <w:rPr>
          <w:rFonts w:hint="eastAsia"/>
          <w:sz w:val="18"/>
          <w:szCs w:val="18"/>
        </w:rPr>
        <w:t>理财计划存续期内，若理财计划赎回日净赎回申请份额超过上一确认日日终理财计划总份额10%时，即构成巨额赎回，监管机构另有规定的除外。</w:t>
      </w:r>
    </w:p>
    <w:p>
      <w:pPr>
        <w:adjustRightInd w:val="0"/>
        <w:snapToGrid w:val="0"/>
        <w:spacing w:line="286" w:lineRule="auto"/>
        <w:rPr>
          <w:sz w:val="18"/>
          <w:szCs w:val="18"/>
        </w:rPr>
      </w:pPr>
      <w:r>
        <w:rPr>
          <w:rFonts w:hint="eastAsia"/>
          <w:sz w:val="18"/>
          <w:szCs w:val="18"/>
        </w:rPr>
        <w:t>2）巨额赎回处理</w:t>
      </w:r>
    </w:p>
    <w:p>
      <w:pPr>
        <w:adjustRightInd w:val="0"/>
        <w:snapToGrid w:val="0"/>
        <w:spacing w:line="286" w:lineRule="auto"/>
        <w:rPr>
          <w:sz w:val="18"/>
          <w:szCs w:val="18"/>
        </w:rPr>
      </w:pPr>
      <w:r>
        <w:rPr>
          <w:rFonts w:hint="eastAsia"/>
          <w:sz w:val="18"/>
          <w:szCs w:val="18"/>
        </w:rPr>
        <w:t>当出现巨额赎回时，管理人有权根据产品当时的投资运作情况决定采取全部赎回、部分赎回、延期支付款项、收取短期赎回费等措施。</w:t>
      </w:r>
    </w:p>
    <w:p>
      <w:pPr>
        <w:adjustRightInd w:val="0"/>
        <w:snapToGrid w:val="0"/>
        <w:spacing w:line="286" w:lineRule="auto"/>
        <w:rPr>
          <w:sz w:val="18"/>
          <w:szCs w:val="18"/>
        </w:rPr>
      </w:pPr>
      <w:r>
        <w:rPr>
          <w:rFonts w:hint="eastAsia"/>
          <w:sz w:val="18"/>
          <w:szCs w:val="18"/>
        </w:rPr>
        <w:fldChar w:fldCharType="begin"/>
      </w:r>
      <w:r>
        <w:rPr>
          <w:rFonts w:hint="eastAsia"/>
          <w:sz w:val="18"/>
          <w:szCs w:val="18"/>
        </w:rPr>
        <w:instrText xml:space="preserve"> = 1 \* GB3 \* MERGEFORMAT </w:instrText>
      </w:r>
      <w:r>
        <w:rPr>
          <w:rFonts w:hint="eastAsia"/>
          <w:sz w:val="18"/>
          <w:szCs w:val="18"/>
        </w:rPr>
        <w:fldChar w:fldCharType="separate"/>
      </w:r>
      <w:r>
        <w:t>①</w:t>
      </w:r>
      <w:r>
        <w:rPr>
          <w:rFonts w:hint="eastAsia"/>
          <w:sz w:val="18"/>
          <w:szCs w:val="18"/>
        </w:rPr>
        <w:fldChar w:fldCharType="end"/>
      </w:r>
      <w:r>
        <w:rPr>
          <w:rFonts w:hint="eastAsia"/>
          <w:sz w:val="18"/>
          <w:szCs w:val="18"/>
        </w:rPr>
        <w:t>全部赎回：当管理人认为有能力兑付投资者的全部赎回申请时，按正常赎回程序执行。</w:t>
      </w:r>
    </w:p>
    <w:p>
      <w:pPr>
        <w:adjustRightInd w:val="0"/>
        <w:snapToGrid w:val="0"/>
        <w:spacing w:line="286" w:lineRule="auto"/>
        <w:rPr>
          <w:sz w:val="18"/>
          <w:szCs w:val="18"/>
        </w:rPr>
      </w:pPr>
      <w:r>
        <w:rPr>
          <w:rFonts w:ascii="Calibri" w:hAnsi="Calibri" w:cs="Calibri"/>
          <w:sz w:val="18"/>
          <w:szCs w:val="18"/>
        </w:rPr>
        <w:t>②</w:t>
      </w:r>
      <w:r>
        <w:rPr>
          <w:rFonts w:hint="eastAsia"/>
          <w:sz w:val="18"/>
          <w:szCs w:val="18"/>
        </w:rPr>
        <w:t>部分赎回：当管理人办理的赎回份额不低于理财计划上一确认日日终总份额的10%的前提下，对其余赎回申请有权暂停接受或延期办理。对于单个份额持有人的赎回申请，管理人可以按照其申请占当期申请赎回总份额的比例，确定该份额持有人当日办理的赎回份额。产品份额持有人可以在申请赎回时选择将当日未获办理部分予以撤销。理财产品份额持有人未选择撤销的，管理人可以延迟至下一个开放日办理，赎回价格为下一个开放日的价格。</w:t>
      </w:r>
    </w:p>
    <w:p>
      <w:pPr>
        <w:adjustRightInd w:val="0"/>
        <w:snapToGrid w:val="0"/>
        <w:spacing w:line="286" w:lineRule="auto"/>
        <w:rPr>
          <w:rFonts w:ascii="Calibri" w:hAnsi="Calibri" w:cs="Calibri"/>
          <w:sz w:val="18"/>
          <w:szCs w:val="18"/>
        </w:rPr>
      </w:pPr>
      <w:r>
        <w:rPr>
          <w:rFonts w:ascii="Calibri" w:hAnsi="Calibri" w:cs="Calibri"/>
          <w:sz w:val="18"/>
          <w:szCs w:val="18"/>
        </w:rPr>
        <w:t>③</w:t>
      </w:r>
      <w:r>
        <w:rPr>
          <w:rFonts w:hint="eastAsia" w:ascii="Calibri" w:hAnsi="Calibri" w:cs="Calibri"/>
          <w:sz w:val="18"/>
          <w:szCs w:val="18"/>
        </w:rPr>
        <w:t>延期支付赎回款项：</w:t>
      </w:r>
      <w:r>
        <w:rPr>
          <w:rFonts w:ascii="Calibri" w:hAnsi="Calibri" w:cs="Calibri"/>
          <w:sz w:val="18"/>
          <w:szCs w:val="18"/>
        </w:rPr>
        <w:t>连续2个</w:t>
      </w:r>
      <w:r>
        <w:rPr>
          <w:rFonts w:hint="eastAsia" w:ascii="Calibri" w:hAnsi="Calibri" w:cs="Calibri"/>
          <w:sz w:val="18"/>
          <w:szCs w:val="18"/>
        </w:rPr>
        <w:t>（含）</w:t>
      </w:r>
      <w:r>
        <w:rPr>
          <w:rFonts w:ascii="Calibri" w:hAnsi="Calibri" w:cs="Calibri"/>
          <w:sz w:val="18"/>
          <w:szCs w:val="18"/>
        </w:rPr>
        <w:t>以上开放日发生巨额赎回的，除采取</w:t>
      </w:r>
      <w:r>
        <w:rPr>
          <w:rFonts w:hint="eastAsia" w:ascii="Calibri" w:hAnsi="Calibri" w:cs="Calibri"/>
          <w:sz w:val="18"/>
          <w:szCs w:val="18"/>
        </w:rPr>
        <w:t>前述</w:t>
      </w:r>
      <w:r>
        <w:rPr>
          <w:rFonts w:ascii="Calibri" w:hAnsi="Calibri" w:cs="Calibri"/>
          <w:sz w:val="18"/>
          <w:szCs w:val="18"/>
        </w:rPr>
        <w:t>措施外，对于已经接受的赎回申请，</w:t>
      </w:r>
      <w:r>
        <w:rPr>
          <w:rFonts w:hint="eastAsia" w:ascii="Calibri" w:hAnsi="Calibri" w:cs="Calibri"/>
          <w:sz w:val="18"/>
          <w:szCs w:val="18"/>
        </w:rPr>
        <w:t>管理人</w:t>
      </w:r>
      <w:r>
        <w:rPr>
          <w:rFonts w:ascii="Calibri" w:hAnsi="Calibri" w:cs="Calibri"/>
          <w:sz w:val="18"/>
          <w:szCs w:val="18"/>
        </w:rPr>
        <w:t>还可以延缓支付赎回款项，但延缓期限不得超过20个工作日。</w:t>
      </w:r>
    </w:p>
    <w:p>
      <w:pPr>
        <w:adjustRightInd w:val="0"/>
        <w:snapToGrid w:val="0"/>
        <w:spacing w:line="286" w:lineRule="auto"/>
        <w:rPr>
          <w:rFonts w:ascii="Calibri" w:hAnsi="Calibri" w:cs="Calibri"/>
          <w:sz w:val="18"/>
          <w:szCs w:val="18"/>
        </w:rPr>
      </w:pPr>
      <w:r>
        <w:rPr>
          <w:rFonts w:ascii="Calibri" w:hAnsi="Calibri" w:cs="Calibri"/>
          <w:sz w:val="18"/>
          <w:szCs w:val="18"/>
        </w:rPr>
        <w:t>④</w:t>
      </w:r>
      <w:r>
        <w:rPr>
          <w:rFonts w:hint="eastAsia" w:ascii="Calibri" w:hAnsi="Calibri" w:cs="Calibri"/>
          <w:sz w:val="18"/>
          <w:szCs w:val="18"/>
        </w:rPr>
        <w:t>收取短期赎回费：产品发生巨额赎回或管理人认为可能回导致产品流动性风险的其他情形下，管理人可向连续持有少于7日的开放式理财产品投资者收取赎回费，并将上述赎回费全额计入理财产品财产。</w:t>
      </w:r>
    </w:p>
    <w:p>
      <w:pPr>
        <w:adjustRightInd w:val="0"/>
        <w:snapToGrid w:val="0"/>
        <w:spacing w:line="286" w:lineRule="auto"/>
        <w:rPr>
          <w:sz w:val="18"/>
          <w:szCs w:val="18"/>
        </w:rPr>
      </w:pPr>
      <w:r>
        <w:rPr>
          <w:rFonts w:hint="eastAsia"/>
          <w:sz w:val="18"/>
          <w:szCs w:val="18"/>
        </w:rPr>
        <w:t>在理财计划存续期内，管理人有权根据市场情况调整巨额赎回金额比例，并及时进行对外公告。</w:t>
      </w:r>
    </w:p>
    <w:p>
      <w:pPr>
        <w:numPr>
          <w:ilvl w:val="0"/>
          <w:numId w:val="2"/>
        </w:numPr>
        <w:adjustRightInd w:val="0"/>
        <w:snapToGrid w:val="0"/>
        <w:spacing w:line="286" w:lineRule="auto"/>
        <w:rPr>
          <w:sz w:val="18"/>
          <w:szCs w:val="18"/>
        </w:rPr>
      </w:pPr>
      <w:r>
        <w:rPr>
          <w:rFonts w:hint="eastAsia"/>
          <w:sz w:val="18"/>
          <w:szCs w:val="18"/>
        </w:rPr>
        <w:t>摆动定价机制</w:t>
      </w:r>
    </w:p>
    <w:p>
      <w:pPr>
        <w:adjustRightInd w:val="0"/>
        <w:snapToGrid w:val="0"/>
        <w:spacing w:line="286" w:lineRule="auto"/>
        <w:rPr>
          <w:sz w:val="18"/>
          <w:szCs w:val="18"/>
        </w:rPr>
      </w:pPr>
      <w:r>
        <w:rPr>
          <w:rFonts w:hint="eastAsia"/>
          <w:sz w:val="18"/>
          <w:szCs w:val="18"/>
        </w:rPr>
        <w:t>当产品</w:t>
      </w:r>
      <w:r>
        <w:rPr>
          <w:sz w:val="18"/>
          <w:szCs w:val="18"/>
        </w:rPr>
        <w:t>发生大额认</w:t>
      </w:r>
      <w:r>
        <w:rPr>
          <w:rFonts w:hint="eastAsia"/>
          <w:sz w:val="18"/>
          <w:szCs w:val="18"/>
        </w:rPr>
        <w:t>（申）</w:t>
      </w:r>
      <w:r>
        <w:rPr>
          <w:sz w:val="18"/>
          <w:szCs w:val="18"/>
        </w:rPr>
        <w:t>购或赎回时，</w:t>
      </w:r>
      <w:r>
        <w:rPr>
          <w:rFonts w:hint="eastAsia"/>
          <w:sz w:val="18"/>
          <w:szCs w:val="18"/>
        </w:rPr>
        <w:t>管理人</w:t>
      </w:r>
      <w:r>
        <w:rPr>
          <w:sz w:val="18"/>
          <w:szCs w:val="18"/>
        </w:rPr>
        <w:t>可以采用摆动定价机制</w:t>
      </w:r>
      <w:r>
        <w:rPr>
          <w:rFonts w:hint="eastAsia"/>
          <w:sz w:val="18"/>
          <w:szCs w:val="18"/>
        </w:rPr>
        <w:t>。摆动定价机制是指当本产品遭遇大额认购或赎回时，通过调整理财产品份额净值的方式，将理财产品调整投资组合的市场冲击成本分配给实际认（申）购、赎回的投资者，从而减少对存量理财产品份额持有人利益的不利影响。具体操作按照相关法律法规、监管规定和自律规则执行。</w:t>
      </w:r>
    </w:p>
    <w:p>
      <w:pPr>
        <w:adjustRightInd w:val="0"/>
        <w:snapToGrid w:val="0"/>
        <w:spacing w:line="286" w:lineRule="auto"/>
        <w:rPr>
          <w:sz w:val="18"/>
          <w:szCs w:val="18"/>
        </w:rPr>
      </w:pPr>
      <w:r>
        <w:rPr>
          <w:rFonts w:hint="eastAsia"/>
          <w:sz w:val="18"/>
          <w:szCs w:val="18"/>
        </w:rPr>
        <w:t>4</w:t>
      </w:r>
      <w:r>
        <w:rPr>
          <w:sz w:val="18"/>
          <w:szCs w:val="18"/>
        </w:rPr>
        <w:t>.</w:t>
      </w:r>
      <w:r>
        <w:rPr>
          <w:rFonts w:hint="eastAsia"/>
          <w:sz w:val="18"/>
          <w:szCs w:val="18"/>
        </w:rPr>
        <w:t>申购、赎回程序</w:t>
      </w:r>
    </w:p>
    <w:p>
      <w:pPr>
        <w:adjustRightInd w:val="0"/>
        <w:snapToGrid w:val="0"/>
        <w:spacing w:line="286" w:lineRule="auto"/>
        <w:rPr>
          <w:sz w:val="18"/>
          <w:szCs w:val="18"/>
        </w:rPr>
      </w:pPr>
      <w:r>
        <w:rPr>
          <w:rFonts w:hint="eastAsia"/>
          <w:sz w:val="18"/>
          <w:szCs w:val="18"/>
        </w:rPr>
        <w:t>（</w:t>
      </w:r>
      <w:r>
        <w:rPr>
          <w:sz w:val="18"/>
          <w:szCs w:val="18"/>
        </w:rPr>
        <w:t>1）申购、赎回的申请方式</w:t>
      </w:r>
    </w:p>
    <w:p>
      <w:pPr>
        <w:adjustRightInd w:val="0"/>
        <w:snapToGrid w:val="0"/>
        <w:spacing w:line="286" w:lineRule="auto"/>
        <w:rPr>
          <w:sz w:val="18"/>
          <w:szCs w:val="18"/>
        </w:rPr>
      </w:pPr>
      <w:r>
        <w:rPr>
          <w:rFonts w:hint="eastAsia"/>
          <w:sz w:val="18"/>
          <w:szCs w:val="18"/>
        </w:rPr>
        <w:t>投资者必须在开放期内提出申购、赎回的申请。</w:t>
      </w:r>
    </w:p>
    <w:p>
      <w:pPr>
        <w:adjustRightInd w:val="0"/>
        <w:snapToGrid w:val="0"/>
        <w:spacing w:line="286" w:lineRule="auto"/>
        <w:rPr>
          <w:sz w:val="18"/>
          <w:szCs w:val="18"/>
        </w:rPr>
      </w:pPr>
      <w:r>
        <w:rPr>
          <w:rFonts w:hint="eastAsia"/>
          <w:sz w:val="18"/>
          <w:szCs w:val="18"/>
        </w:rPr>
        <w:t>投资者在提交申购申请时，须备足申购资金。</w:t>
      </w:r>
    </w:p>
    <w:p>
      <w:pPr>
        <w:adjustRightInd w:val="0"/>
        <w:snapToGrid w:val="0"/>
        <w:spacing w:line="286" w:lineRule="auto"/>
        <w:rPr>
          <w:sz w:val="18"/>
          <w:szCs w:val="18"/>
        </w:rPr>
      </w:pPr>
      <w:r>
        <w:rPr>
          <w:rFonts w:hint="eastAsia"/>
          <w:sz w:val="18"/>
          <w:szCs w:val="18"/>
        </w:rPr>
        <w:t>投资者提交赎回申请时，必须针对之前持有的可用份额申请</w:t>
      </w:r>
      <w:r>
        <w:rPr>
          <w:sz w:val="18"/>
          <w:szCs w:val="18"/>
        </w:rPr>
        <w:t>赎回，且必须有足够的理财计划份额余额。</w:t>
      </w:r>
    </w:p>
    <w:p>
      <w:pPr>
        <w:adjustRightInd w:val="0"/>
        <w:snapToGrid w:val="0"/>
        <w:spacing w:line="286" w:lineRule="auto"/>
        <w:rPr>
          <w:sz w:val="18"/>
          <w:szCs w:val="18"/>
        </w:rPr>
      </w:pPr>
      <w:r>
        <w:rPr>
          <w:rFonts w:hint="eastAsia"/>
          <w:sz w:val="18"/>
          <w:szCs w:val="18"/>
        </w:rPr>
        <w:t>（2）申购、赎回的支付</w:t>
      </w:r>
    </w:p>
    <w:p>
      <w:pPr>
        <w:adjustRightInd w:val="0"/>
        <w:snapToGrid w:val="0"/>
        <w:spacing w:line="286" w:lineRule="auto"/>
        <w:rPr>
          <w:sz w:val="18"/>
          <w:szCs w:val="18"/>
        </w:rPr>
      </w:pPr>
      <w:r>
        <w:rPr>
          <w:rFonts w:hint="eastAsia"/>
          <w:sz w:val="18"/>
          <w:szCs w:val="18"/>
        </w:rPr>
        <w:t>温州</w:t>
      </w:r>
      <w:r>
        <w:rPr>
          <w:sz w:val="18"/>
          <w:szCs w:val="18"/>
        </w:rPr>
        <w:t>银行在申购</w:t>
      </w:r>
      <w:r>
        <w:rPr>
          <w:rFonts w:hint="eastAsia"/>
          <w:sz w:val="18"/>
          <w:szCs w:val="18"/>
        </w:rPr>
        <w:t>、</w:t>
      </w:r>
      <w:r>
        <w:rPr>
          <w:sz w:val="18"/>
          <w:szCs w:val="18"/>
        </w:rPr>
        <w:t>赎回</w:t>
      </w:r>
      <w:r>
        <w:rPr>
          <w:rFonts w:hint="eastAsia"/>
          <w:sz w:val="18"/>
          <w:szCs w:val="18"/>
        </w:rPr>
        <w:t>确认</w:t>
      </w:r>
      <w:r>
        <w:rPr>
          <w:sz w:val="18"/>
          <w:szCs w:val="18"/>
        </w:rPr>
        <w:t>日</w:t>
      </w:r>
      <w:r>
        <w:rPr>
          <w:rFonts w:hint="eastAsia"/>
          <w:sz w:val="18"/>
          <w:szCs w:val="18"/>
        </w:rPr>
        <w:t>进行</w:t>
      </w:r>
      <w:r>
        <w:rPr>
          <w:sz w:val="18"/>
          <w:szCs w:val="18"/>
        </w:rPr>
        <w:t>投资者</w:t>
      </w:r>
      <w:r>
        <w:rPr>
          <w:rFonts w:hint="eastAsia"/>
          <w:sz w:val="18"/>
          <w:szCs w:val="18"/>
        </w:rPr>
        <w:t>确认</w:t>
      </w:r>
      <w:r>
        <w:rPr>
          <w:sz w:val="18"/>
          <w:szCs w:val="18"/>
        </w:rPr>
        <w:t>份额</w:t>
      </w:r>
      <w:r>
        <w:rPr>
          <w:rFonts w:hint="eastAsia"/>
          <w:sz w:val="18"/>
          <w:szCs w:val="18"/>
        </w:rPr>
        <w:t>并扣减投资者账户资金，扣划款项成功后投资者申购成功</w:t>
      </w:r>
      <w:r>
        <w:rPr>
          <w:sz w:val="18"/>
          <w:szCs w:val="18"/>
        </w:rPr>
        <w:t>。投资者申购成功后，可在此后</w:t>
      </w:r>
      <w:r>
        <w:rPr>
          <w:rFonts w:hint="eastAsia"/>
          <w:sz w:val="18"/>
          <w:szCs w:val="18"/>
        </w:rPr>
        <w:t>的开放</w:t>
      </w:r>
      <w:r>
        <w:rPr>
          <w:sz w:val="18"/>
          <w:szCs w:val="18"/>
        </w:rPr>
        <w:t>赎回期</w:t>
      </w:r>
      <w:r>
        <w:rPr>
          <w:rFonts w:hint="eastAsia"/>
          <w:sz w:val="18"/>
          <w:szCs w:val="18"/>
        </w:rPr>
        <w:t>内赎回</w:t>
      </w:r>
      <w:r>
        <w:rPr>
          <w:sz w:val="18"/>
          <w:szCs w:val="18"/>
        </w:rPr>
        <w:t>部分或全部申购份额。</w:t>
      </w:r>
      <w:r>
        <w:rPr>
          <w:rFonts w:hint="eastAsia"/>
          <w:sz w:val="18"/>
          <w:szCs w:val="18"/>
        </w:rPr>
        <w:t>　</w:t>
      </w:r>
    </w:p>
    <w:p>
      <w:pPr>
        <w:adjustRightInd w:val="0"/>
        <w:snapToGrid w:val="0"/>
        <w:spacing w:line="286" w:lineRule="auto"/>
        <w:rPr>
          <w:sz w:val="18"/>
          <w:szCs w:val="18"/>
        </w:rPr>
      </w:pPr>
      <w:r>
        <w:rPr>
          <w:rFonts w:hint="eastAsia"/>
          <w:sz w:val="18"/>
          <w:szCs w:val="18"/>
        </w:rPr>
        <w:t>确认投资者赎回成功后，温州银行将为投资者扣减份额，并将投资者应得的赎回资金（如有，下同）于赎回确认日后</w:t>
      </w:r>
      <w:r>
        <w:rPr>
          <w:sz w:val="18"/>
          <w:szCs w:val="18"/>
        </w:rPr>
        <w:t>3</w:t>
      </w:r>
      <w:r>
        <w:rPr>
          <w:rFonts w:hint="eastAsia"/>
          <w:sz w:val="18"/>
          <w:szCs w:val="18"/>
        </w:rPr>
        <w:t>个工作日内划转至投资者账户。</w:t>
      </w:r>
    </w:p>
    <w:p>
      <w:pPr>
        <w:adjustRightInd w:val="0"/>
        <w:snapToGrid w:val="0"/>
        <w:spacing w:line="286" w:lineRule="auto"/>
        <w:rPr>
          <w:sz w:val="18"/>
          <w:szCs w:val="18"/>
        </w:rPr>
      </w:pPr>
      <w:r>
        <w:rPr>
          <w:rFonts w:hint="eastAsia"/>
          <w:sz w:val="18"/>
          <w:szCs w:val="18"/>
        </w:rPr>
        <w:t>5</w:t>
      </w:r>
      <w:r>
        <w:rPr>
          <w:sz w:val="18"/>
          <w:szCs w:val="18"/>
        </w:rPr>
        <w:t>.</w:t>
      </w:r>
      <w:r>
        <w:rPr>
          <w:rFonts w:hint="eastAsia"/>
          <w:sz w:val="18"/>
          <w:szCs w:val="18"/>
        </w:rPr>
        <w:t>申购</w:t>
      </w:r>
      <w:r>
        <w:rPr>
          <w:sz w:val="18"/>
          <w:szCs w:val="18"/>
        </w:rPr>
        <w:t>份额和赎回金额的计算</w:t>
      </w:r>
    </w:p>
    <w:p>
      <w:pPr>
        <w:adjustRightInd w:val="0"/>
        <w:snapToGrid w:val="0"/>
        <w:spacing w:line="286" w:lineRule="auto"/>
        <w:rPr>
          <w:sz w:val="18"/>
          <w:szCs w:val="18"/>
        </w:rPr>
      </w:pPr>
      <w:r>
        <w:rPr>
          <w:rFonts w:hint="eastAsia"/>
          <w:sz w:val="18"/>
          <w:szCs w:val="18"/>
        </w:rPr>
        <w:t>（1）申购份额的计算</w:t>
      </w:r>
    </w:p>
    <w:p>
      <w:pPr>
        <w:adjustRightInd w:val="0"/>
        <w:snapToGrid w:val="0"/>
        <w:spacing w:line="286" w:lineRule="auto"/>
        <w:rPr>
          <w:sz w:val="18"/>
          <w:szCs w:val="18"/>
        </w:rPr>
      </w:pPr>
      <w:r>
        <w:rPr>
          <w:rFonts w:hint="eastAsia"/>
          <w:sz w:val="18"/>
          <w:szCs w:val="18"/>
        </w:rPr>
        <w:t>本理财计划申购份额的具体计算方法如下：</w:t>
      </w:r>
    </w:p>
    <w:p>
      <w:pPr>
        <w:adjustRightInd w:val="0"/>
        <w:snapToGrid w:val="0"/>
        <w:spacing w:line="286" w:lineRule="auto"/>
        <w:rPr>
          <w:sz w:val="18"/>
          <w:szCs w:val="18"/>
        </w:rPr>
      </w:pPr>
      <w:r>
        <w:rPr>
          <w:rFonts w:hint="eastAsia"/>
          <w:sz w:val="18"/>
          <w:szCs w:val="18"/>
        </w:rPr>
        <w:t>申购份额＝申购金额÷申购确认日前一自然日理财计划份额净值</w:t>
      </w:r>
    </w:p>
    <w:p>
      <w:pPr>
        <w:adjustRightInd w:val="0"/>
        <w:snapToGrid w:val="0"/>
        <w:spacing w:line="286" w:lineRule="auto"/>
        <w:rPr>
          <w:sz w:val="18"/>
          <w:szCs w:val="18"/>
        </w:rPr>
      </w:pPr>
      <w:r>
        <w:rPr>
          <w:rFonts w:hint="eastAsia"/>
          <w:sz w:val="18"/>
          <w:szCs w:val="18"/>
        </w:rPr>
        <w:t>申购费：本理财计划不收取申购费。</w:t>
      </w:r>
    </w:p>
    <w:p>
      <w:pPr>
        <w:adjustRightInd w:val="0"/>
        <w:snapToGrid w:val="0"/>
        <w:spacing w:line="286" w:lineRule="auto"/>
        <w:rPr>
          <w:sz w:val="18"/>
          <w:szCs w:val="18"/>
        </w:rPr>
      </w:pPr>
      <w:r>
        <w:rPr>
          <w:rFonts w:hint="eastAsia"/>
          <w:sz w:val="18"/>
          <w:szCs w:val="18"/>
        </w:rPr>
        <w:t>申购份额保留至小数点后2位（保留2位小数，2位小数点后四舍五入）。</w:t>
      </w:r>
    </w:p>
    <w:p>
      <w:pPr>
        <w:adjustRightInd w:val="0"/>
        <w:snapToGrid w:val="0"/>
        <w:spacing w:line="286" w:lineRule="auto"/>
        <w:rPr>
          <w:sz w:val="18"/>
          <w:szCs w:val="18"/>
        </w:rPr>
      </w:pPr>
      <w:r>
        <w:rPr>
          <w:rFonts w:hint="eastAsia"/>
          <w:sz w:val="18"/>
          <w:szCs w:val="18"/>
        </w:rPr>
        <w:t>示例：假定某投资者投资100万元人民币申购本理财计划，理财计划份额净值为 1.0250元人民币，则其可得到的申购份额和应支付的申购费计算如下：</w:t>
      </w:r>
    </w:p>
    <w:p>
      <w:pPr>
        <w:adjustRightInd w:val="0"/>
        <w:snapToGrid w:val="0"/>
        <w:spacing w:line="286" w:lineRule="auto"/>
        <w:rPr>
          <w:sz w:val="18"/>
          <w:szCs w:val="18"/>
        </w:rPr>
      </w:pPr>
      <w:r>
        <w:rPr>
          <w:rFonts w:hint="eastAsia"/>
          <w:sz w:val="18"/>
          <w:szCs w:val="18"/>
        </w:rPr>
        <w:t>申购份数＝100万元人民币÷1.0250＝975609.76份</w:t>
      </w:r>
    </w:p>
    <w:p>
      <w:pPr>
        <w:adjustRightInd w:val="0"/>
        <w:snapToGrid w:val="0"/>
        <w:spacing w:line="286" w:lineRule="auto"/>
        <w:rPr>
          <w:sz w:val="18"/>
          <w:szCs w:val="18"/>
        </w:rPr>
      </w:pPr>
      <w:r>
        <w:rPr>
          <w:rFonts w:hint="eastAsia"/>
          <w:sz w:val="18"/>
          <w:szCs w:val="18"/>
        </w:rPr>
        <w:t>申购费＝100万元人民币×0％＝0元人民币</w:t>
      </w:r>
    </w:p>
    <w:p>
      <w:pPr>
        <w:adjustRightInd w:val="0"/>
        <w:snapToGrid w:val="0"/>
        <w:spacing w:line="286" w:lineRule="auto"/>
        <w:rPr>
          <w:sz w:val="18"/>
          <w:szCs w:val="18"/>
        </w:rPr>
      </w:pPr>
      <w:r>
        <w:rPr>
          <w:rFonts w:hint="eastAsia"/>
          <w:sz w:val="18"/>
          <w:szCs w:val="18"/>
        </w:rPr>
        <w:t>（2</w:t>
      </w:r>
      <w:r>
        <w:rPr>
          <w:sz w:val="18"/>
          <w:szCs w:val="18"/>
        </w:rPr>
        <w:t>）</w:t>
      </w:r>
      <w:r>
        <w:rPr>
          <w:rFonts w:hint="eastAsia"/>
          <w:sz w:val="18"/>
          <w:szCs w:val="18"/>
        </w:rPr>
        <w:t>理财计划赎回金额的计算</w:t>
      </w:r>
    </w:p>
    <w:p>
      <w:pPr>
        <w:adjustRightInd w:val="0"/>
        <w:snapToGrid w:val="0"/>
        <w:spacing w:line="286" w:lineRule="auto"/>
        <w:rPr>
          <w:sz w:val="18"/>
          <w:szCs w:val="18"/>
        </w:rPr>
      </w:pPr>
      <w:r>
        <w:rPr>
          <w:rFonts w:hint="eastAsia"/>
          <w:sz w:val="18"/>
          <w:szCs w:val="18"/>
        </w:rPr>
        <w:t>理财计划采用“份额赎回”方式，赎回价格以赎回日的理财计划份额净值为基准进行计算,计算公式如下：</w:t>
      </w:r>
    </w:p>
    <w:p>
      <w:pPr>
        <w:adjustRightInd w:val="0"/>
        <w:snapToGrid w:val="0"/>
        <w:spacing w:line="286" w:lineRule="auto"/>
        <w:rPr>
          <w:sz w:val="18"/>
          <w:szCs w:val="18"/>
        </w:rPr>
      </w:pPr>
      <w:r>
        <w:rPr>
          <w:rFonts w:hint="eastAsia"/>
          <w:sz w:val="18"/>
          <w:szCs w:val="18"/>
        </w:rPr>
        <w:t>赎回金额＝总赎回份额×赎回确认日前一自然日理财计划份额净值</w:t>
      </w:r>
    </w:p>
    <w:p>
      <w:pPr>
        <w:adjustRightInd w:val="0"/>
        <w:snapToGrid w:val="0"/>
        <w:spacing w:line="286" w:lineRule="auto"/>
        <w:rPr>
          <w:sz w:val="18"/>
          <w:szCs w:val="18"/>
        </w:rPr>
      </w:pPr>
      <w:r>
        <w:rPr>
          <w:rFonts w:hint="eastAsia"/>
          <w:sz w:val="18"/>
          <w:szCs w:val="18"/>
        </w:rPr>
        <w:t>（赎回金额保留2位小数，</w:t>
      </w:r>
      <w:r>
        <w:rPr>
          <w:sz w:val="18"/>
          <w:szCs w:val="18"/>
        </w:rPr>
        <w:t>2位小数点后</w:t>
      </w:r>
      <w:r>
        <w:rPr>
          <w:rFonts w:hint="eastAsia"/>
          <w:sz w:val="18"/>
          <w:szCs w:val="18"/>
        </w:rPr>
        <w:t>四舍五入</w:t>
      </w:r>
      <w:r>
        <w:rPr>
          <w:sz w:val="18"/>
          <w:szCs w:val="18"/>
        </w:rPr>
        <w:t>）</w:t>
      </w:r>
    </w:p>
    <w:p>
      <w:pPr>
        <w:adjustRightInd w:val="0"/>
        <w:snapToGrid w:val="0"/>
        <w:spacing w:line="286" w:lineRule="auto"/>
        <w:rPr>
          <w:sz w:val="18"/>
          <w:szCs w:val="18"/>
        </w:rPr>
      </w:pPr>
      <w:r>
        <w:rPr>
          <w:rFonts w:hint="eastAsia"/>
          <w:sz w:val="18"/>
          <w:szCs w:val="18"/>
        </w:rPr>
        <w:t>赎回费＝赎回金额×赎回费率，本计划赎回费率为0。</w:t>
      </w:r>
    </w:p>
    <w:p>
      <w:pPr>
        <w:adjustRightInd w:val="0"/>
        <w:snapToGrid w:val="0"/>
        <w:spacing w:line="286" w:lineRule="auto"/>
        <w:rPr>
          <w:sz w:val="18"/>
          <w:szCs w:val="18"/>
        </w:rPr>
      </w:pPr>
      <w:r>
        <w:rPr>
          <w:rFonts w:hint="eastAsia"/>
          <w:sz w:val="18"/>
          <w:szCs w:val="18"/>
        </w:rPr>
        <w:t>投资者应得赎回资金＝赎回金额－赎回费</w:t>
      </w:r>
    </w:p>
    <w:p>
      <w:pPr>
        <w:adjustRightInd w:val="0"/>
        <w:snapToGrid w:val="0"/>
        <w:spacing w:line="286" w:lineRule="auto"/>
        <w:rPr>
          <w:sz w:val="18"/>
          <w:szCs w:val="18"/>
        </w:rPr>
      </w:pPr>
      <w:r>
        <w:rPr>
          <w:rFonts w:hint="eastAsia"/>
          <w:sz w:val="18"/>
          <w:szCs w:val="18"/>
        </w:rPr>
        <w:t>示例：假定某投资者赎回100000份理财计划份额，理财计划份额净值为1.0530元人民币时赎回。</w:t>
      </w:r>
    </w:p>
    <w:p>
      <w:pPr>
        <w:adjustRightInd w:val="0"/>
        <w:snapToGrid w:val="0"/>
        <w:spacing w:line="286" w:lineRule="auto"/>
        <w:rPr>
          <w:sz w:val="18"/>
          <w:szCs w:val="18"/>
        </w:rPr>
      </w:pPr>
      <w:r>
        <w:rPr>
          <w:rFonts w:hint="eastAsia"/>
          <w:sz w:val="18"/>
          <w:szCs w:val="18"/>
        </w:rPr>
        <w:t>赎回金额＝100000×1.0530＝105300元人民币</w:t>
      </w:r>
    </w:p>
    <w:p>
      <w:pPr>
        <w:adjustRightInd w:val="0"/>
        <w:snapToGrid w:val="0"/>
        <w:spacing w:line="286" w:lineRule="auto"/>
        <w:rPr>
          <w:sz w:val="18"/>
          <w:szCs w:val="18"/>
        </w:rPr>
      </w:pPr>
      <w:r>
        <w:rPr>
          <w:rFonts w:hint="eastAsia"/>
          <w:sz w:val="18"/>
          <w:szCs w:val="18"/>
        </w:rPr>
        <w:t>赎回费＝105300×0％＝0元人民币</w:t>
      </w:r>
    </w:p>
    <w:p>
      <w:pPr>
        <w:adjustRightInd w:val="0"/>
        <w:snapToGrid w:val="0"/>
        <w:spacing w:line="286" w:lineRule="auto"/>
        <w:rPr>
          <w:sz w:val="18"/>
          <w:szCs w:val="18"/>
        </w:rPr>
      </w:pPr>
      <w:r>
        <w:rPr>
          <w:rFonts w:hint="eastAsia"/>
          <w:sz w:val="18"/>
          <w:szCs w:val="18"/>
        </w:rPr>
        <w:t>投资者应得赎回资金＝105300－0＝</w:t>
      </w:r>
      <w:r>
        <w:rPr>
          <w:sz w:val="18"/>
          <w:szCs w:val="18"/>
        </w:rPr>
        <w:t>10</w:t>
      </w:r>
      <w:r>
        <w:rPr>
          <w:rFonts w:hint="eastAsia"/>
          <w:sz w:val="18"/>
          <w:szCs w:val="18"/>
        </w:rPr>
        <w:t>5300元人民币</w:t>
      </w:r>
    </w:p>
    <w:p>
      <w:pPr>
        <w:adjustRightInd w:val="0"/>
        <w:snapToGrid w:val="0"/>
        <w:spacing w:line="286" w:lineRule="auto"/>
        <w:rPr>
          <w:sz w:val="18"/>
          <w:szCs w:val="18"/>
        </w:rPr>
      </w:pPr>
      <w:r>
        <w:rPr>
          <w:rFonts w:hint="eastAsia"/>
          <w:sz w:val="18"/>
          <w:szCs w:val="18"/>
        </w:rPr>
        <w:t>6.拒绝或暂停接受申购或赎回申请、延缓支付赎回款项的情形及处理方式</w:t>
      </w:r>
    </w:p>
    <w:p>
      <w:pPr>
        <w:adjustRightInd w:val="0"/>
        <w:snapToGrid w:val="0"/>
        <w:spacing w:line="286" w:lineRule="auto"/>
        <w:rPr>
          <w:sz w:val="18"/>
          <w:szCs w:val="18"/>
        </w:rPr>
      </w:pPr>
      <w:r>
        <w:rPr>
          <w:rFonts w:hint="eastAsia"/>
          <w:sz w:val="18"/>
          <w:szCs w:val="18"/>
        </w:rPr>
        <w:t>（1）发生以下情形，管理人可以决定是否拒绝或暂停接受全部或部分投资者的申购申请：</w:t>
      </w:r>
    </w:p>
    <w:p>
      <w:pPr>
        <w:adjustRightInd w:val="0"/>
        <w:snapToGrid w:val="0"/>
        <w:spacing w:line="286" w:lineRule="auto"/>
        <w:rPr>
          <w:sz w:val="18"/>
          <w:szCs w:val="18"/>
        </w:rPr>
      </w:pPr>
      <w:r>
        <w:rPr>
          <w:rFonts w:hint="eastAsia"/>
          <w:sz w:val="18"/>
          <w:szCs w:val="18"/>
        </w:rPr>
        <w:t>1）投资者申购超过产品说明书约定的发行规模上限、单笔认/申购上限、单一客户持有上限、单日净申购比例上限等。</w:t>
      </w:r>
    </w:p>
    <w:p>
      <w:pPr>
        <w:adjustRightInd w:val="0"/>
        <w:snapToGrid w:val="0"/>
        <w:spacing w:line="286" w:lineRule="auto"/>
        <w:rPr>
          <w:sz w:val="18"/>
          <w:szCs w:val="18"/>
        </w:rPr>
      </w:pPr>
      <w:r>
        <w:rPr>
          <w:rFonts w:hint="eastAsia"/>
          <w:sz w:val="18"/>
          <w:szCs w:val="18"/>
        </w:rPr>
        <w:t>2）理财计划资产规模过大，继续接受申购可能对理财计划业绩产生负面影响，从而损害理财产品存量投资者利益的情形时。</w:t>
      </w:r>
    </w:p>
    <w:p>
      <w:pPr>
        <w:adjustRightInd w:val="0"/>
        <w:snapToGrid w:val="0"/>
        <w:spacing w:line="286" w:lineRule="auto"/>
        <w:rPr>
          <w:sz w:val="18"/>
          <w:szCs w:val="18"/>
        </w:rPr>
      </w:pPr>
      <w:r>
        <w:rPr>
          <w:rFonts w:hint="eastAsia"/>
          <w:sz w:val="18"/>
          <w:szCs w:val="18"/>
        </w:rPr>
        <w:t>3）当接受认购申请可能会有损于理财产品存量投资者利益时。</w:t>
      </w:r>
    </w:p>
    <w:p>
      <w:pPr>
        <w:adjustRightInd w:val="0"/>
        <w:snapToGrid w:val="0"/>
        <w:spacing w:line="286" w:lineRule="auto"/>
        <w:rPr>
          <w:sz w:val="18"/>
          <w:szCs w:val="18"/>
        </w:rPr>
      </w:pPr>
      <w:r>
        <w:rPr>
          <w:rFonts w:hint="eastAsia"/>
          <w:sz w:val="18"/>
          <w:szCs w:val="18"/>
        </w:rPr>
        <w:t>4）当管理人接受某笔或者某些申购申请有可能导致单一投资者持有理财计划份额的比例达到或超过50%的情形。</w:t>
      </w:r>
    </w:p>
    <w:p>
      <w:pPr>
        <w:adjustRightInd w:val="0"/>
        <w:snapToGrid w:val="0"/>
        <w:spacing w:line="286" w:lineRule="auto"/>
        <w:rPr>
          <w:sz w:val="18"/>
          <w:szCs w:val="18"/>
        </w:rPr>
      </w:pPr>
      <w:r>
        <w:rPr>
          <w:rFonts w:hint="eastAsia"/>
          <w:sz w:val="18"/>
          <w:szCs w:val="18"/>
        </w:rPr>
        <w:t>5）发生产品说明书约定的暂停估值的情形时。</w:t>
      </w:r>
    </w:p>
    <w:p>
      <w:pPr>
        <w:adjustRightInd w:val="0"/>
        <w:snapToGrid w:val="0"/>
        <w:spacing w:line="286" w:lineRule="auto"/>
        <w:rPr>
          <w:sz w:val="18"/>
          <w:szCs w:val="18"/>
        </w:rPr>
      </w:pPr>
      <w:r>
        <w:rPr>
          <w:rFonts w:hint="eastAsia"/>
          <w:sz w:val="18"/>
          <w:szCs w:val="18"/>
        </w:rPr>
        <w:t>6）法律法规规定或监管机构认定的其他情形。</w:t>
      </w:r>
    </w:p>
    <w:p>
      <w:pPr>
        <w:adjustRightInd w:val="0"/>
        <w:snapToGrid w:val="0"/>
        <w:spacing w:line="286" w:lineRule="auto"/>
        <w:rPr>
          <w:sz w:val="18"/>
          <w:szCs w:val="18"/>
        </w:rPr>
      </w:pPr>
      <w:r>
        <w:rPr>
          <w:rFonts w:hint="eastAsia"/>
          <w:sz w:val="18"/>
          <w:szCs w:val="18"/>
        </w:rPr>
        <w:t>当管理人决定暂定接受投资人申购申请时，将在3个交易日内告知投资者。若投资者的全部或部分申购申请被拒绝，被拒绝的申购款项本金将退还给投资者，管理人不承担投资者由此产生的利息损失。</w:t>
      </w:r>
    </w:p>
    <w:p>
      <w:pPr>
        <w:adjustRightInd w:val="0"/>
        <w:snapToGrid w:val="0"/>
        <w:spacing w:line="286" w:lineRule="auto"/>
        <w:rPr>
          <w:sz w:val="18"/>
          <w:szCs w:val="18"/>
        </w:rPr>
      </w:pPr>
      <w:r>
        <w:rPr>
          <w:rFonts w:hint="eastAsia"/>
          <w:sz w:val="18"/>
          <w:szCs w:val="18"/>
        </w:rPr>
        <w:t>（2）发生下列情形时，管理人可暂停接受投资者的赎回申请或延缓支付赎回款项：</w:t>
      </w:r>
    </w:p>
    <w:p>
      <w:pPr>
        <w:numPr>
          <w:ilvl w:val="0"/>
          <w:numId w:val="3"/>
        </w:numPr>
        <w:adjustRightInd w:val="0"/>
        <w:snapToGrid w:val="0"/>
        <w:spacing w:line="286" w:lineRule="auto"/>
        <w:rPr>
          <w:sz w:val="18"/>
          <w:szCs w:val="18"/>
        </w:rPr>
      </w:pPr>
      <w:r>
        <w:rPr>
          <w:rFonts w:hint="eastAsia"/>
          <w:sz w:val="18"/>
          <w:szCs w:val="18"/>
        </w:rPr>
        <w:t>发生巨额赎回或连续巨额赎回的情形时。</w:t>
      </w:r>
    </w:p>
    <w:p>
      <w:pPr>
        <w:numPr>
          <w:ilvl w:val="0"/>
          <w:numId w:val="3"/>
        </w:numPr>
        <w:adjustRightInd w:val="0"/>
        <w:snapToGrid w:val="0"/>
        <w:spacing w:line="286" w:lineRule="auto"/>
        <w:rPr>
          <w:sz w:val="18"/>
          <w:szCs w:val="18"/>
        </w:rPr>
      </w:pPr>
      <w:r>
        <w:rPr>
          <w:sz w:val="18"/>
          <w:szCs w:val="18"/>
        </w:rPr>
        <w:t>当</w:t>
      </w:r>
      <w:r>
        <w:rPr>
          <w:rFonts w:hint="eastAsia"/>
          <w:sz w:val="18"/>
          <w:szCs w:val="18"/>
        </w:rPr>
        <w:t>接受赎回</w:t>
      </w:r>
      <w:r>
        <w:rPr>
          <w:sz w:val="18"/>
          <w:szCs w:val="18"/>
        </w:rPr>
        <w:t>申请可能会有损于理财产品存量投资者利益时。</w:t>
      </w:r>
    </w:p>
    <w:p>
      <w:pPr>
        <w:numPr>
          <w:ilvl w:val="0"/>
          <w:numId w:val="3"/>
        </w:numPr>
        <w:adjustRightInd w:val="0"/>
        <w:snapToGrid w:val="0"/>
        <w:spacing w:line="286" w:lineRule="auto"/>
        <w:rPr>
          <w:sz w:val="18"/>
          <w:szCs w:val="18"/>
        </w:rPr>
      </w:pPr>
      <w:r>
        <w:rPr>
          <w:rFonts w:hint="eastAsia"/>
          <w:sz w:val="18"/>
          <w:szCs w:val="18"/>
        </w:rPr>
        <w:t>发生赎回申请超过赎回上限的情形时。</w:t>
      </w:r>
    </w:p>
    <w:p>
      <w:pPr>
        <w:numPr>
          <w:ilvl w:val="0"/>
          <w:numId w:val="3"/>
        </w:numPr>
        <w:adjustRightInd w:val="0"/>
        <w:snapToGrid w:val="0"/>
        <w:spacing w:line="286" w:lineRule="auto"/>
        <w:rPr>
          <w:sz w:val="18"/>
          <w:szCs w:val="18"/>
        </w:rPr>
      </w:pPr>
      <w:r>
        <w:rPr>
          <w:rFonts w:hint="eastAsia"/>
          <w:sz w:val="18"/>
          <w:szCs w:val="18"/>
        </w:rPr>
        <w:t>发生产品说明书约定的暂停估值的情形时。</w:t>
      </w:r>
    </w:p>
    <w:p>
      <w:pPr>
        <w:numPr>
          <w:ilvl w:val="0"/>
          <w:numId w:val="3"/>
        </w:numPr>
        <w:adjustRightInd w:val="0"/>
        <w:snapToGrid w:val="0"/>
        <w:spacing w:line="286" w:lineRule="auto"/>
        <w:rPr>
          <w:sz w:val="18"/>
          <w:szCs w:val="18"/>
        </w:rPr>
      </w:pPr>
      <w:r>
        <w:rPr>
          <w:rFonts w:hint="eastAsia"/>
          <w:sz w:val="18"/>
          <w:szCs w:val="18"/>
        </w:rPr>
        <w:t>法律法规规定或监管机构认定的其他情形。</w:t>
      </w:r>
    </w:p>
    <w:p>
      <w:pPr>
        <w:adjustRightInd w:val="0"/>
        <w:snapToGrid w:val="0"/>
        <w:spacing w:line="286" w:lineRule="auto"/>
        <w:rPr>
          <w:sz w:val="18"/>
          <w:szCs w:val="18"/>
        </w:rPr>
      </w:pPr>
      <w:r>
        <w:rPr>
          <w:rFonts w:hint="eastAsia"/>
          <w:sz w:val="18"/>
          <w:szCs w:val="18"/>
        </w:rPr>
        <w:t>当发生上述暂停接受赎回申请或延期支付赎回款项的情形时，管理人将在3个交易日内告知投资者。若投资者的全部或部分赎回申请被拒绝，投资者可将当日未能受理部分予以撤销。投资者未选择撤销的，管理人可以延迟至下一个开放日办理，赎回价格为下一个开放日的价格。</w:t>
      </w:r>
    </w:p>
    <w:p>
      <w:pPr>
        <w:adjustRightInd w:val="0"/>
        <w:snapToGrid w:val="0"/>
        <w:spacing w:line="286" w:lineRule="auto"/>
        <w:rPr>
          <w:sz w:val="18"/>
          <w:szCs w:val="18"/>
        </w:rPr>
      </w:pPr>
      <w:r>
        <w:rPr>
          <w:rFonts w:hint="eastAsia"/>
          <w:sz w:val="18"/>
          <w:szCs w:val="18"/>
        </w:rPr>
        <w:t>【终止（包括到期终止、提前终止、延期终止）】</w:t>
      </w:r>
    </w:p>
    <w:p>
      <w:pPr>
        <w:adjustRightInd w:val="0"/>
        <w:snapToGrid w:val="0"/>
        <w:spacing w:line="286" w:lineRule="auto"/>
        <w:rPr>
          <w:sz w:val="18"/>
          <w:szCs w:val="18"/>
        </w:rPr>
      </w:pPr>
      <w:r>
        <w:rPr>
          <w:rFonts w:hint="eastAsia"/>
          <w:sz w:val="18"/>
          <w:szCs w:val="18"/>
        </w:rPr>
        <w:t>本产品预计到期终止日为</w:t>
      </w:r>
      <w:r>
        <w:rPr>
          <w:rFonts w:hint="eastAsia"/>
          <w:color w:val="000000"/>
          <w:sz w:val="18"/>
          <w:szCs w:val="18"/>
        </w:rPr>
        <w:t>2031年</w:t>
      </w:r>
      <w:r>
        <w:rPr>
          <w:rFonts w:hint="eastAsia"/>
          <w:color w:val="000000"/>
          <w:sz w:val="18"/>
          <w:szCs w:val="18"/>
          <w:lang w:val="en-US" w:eastAsia="zh-CN"/>
        </w:rPr>
        <w:t>7</w:t>
      </w:r>
      <w:r>
        <w:rPr>
          <w:rFonts w:hint="eastAsia"/>
          <w:color w:val="000000"/>
          <w:sz w:val="18"/>
          <w:szCs w:val="18"/>
        </w:rPr>
        <w:t>月</w:t>
      </w:r>
      <w:r>
        <w:rPr>
          <w:rFonts w:hint="eastAsia"/>
          <w:color w:val="000000"/>
          <w:sz w:val="18"/>
          <w:szCs w:val="18"/>
          <w:lang w:val="en-US" w:eastAsia="zh-CN"/>
        </w:rPr>
        <w:t>6</w:t>
      </w:r>
      <w:r>
        <w:rPr>
          <w:rFonts w:hint="eastAsia"/>
          <w:color w:val="000000"/>
          <w:sz w:val="18"/>
          <w:szCs w:val="18"/>
        </w:rPr>
        <w:t>日</w:t>
      </w:r>
      <w:r>
        <w:rPr>
          <w:rFonts w:hint="eastAsia"/>
          <w:color w:val="000000"/>
          <w:sz w:val="18"/>
        </w:rPr>
        <w:t>，</w:t>
      </w:r>
      <w:r>
        <w:rPr>
          <w:rFonts w:hint="eastAsia"/>
          <w:sz w:val="18"/>
          <w:szCs w:val="18"/>
        </w:rPr>
        <w:t>如遇国家金融政策出现重大调整并影响到本产品的正常运行或管理人有合理理由认为将影响本理财计划正常运作的其他情形时，银行有权但无义务提前终止本产品。如理财计划项下所投的资产标的，因市场风险、信用风险等原因无法全部变现，或法律法规规定或管理人认为有必要延期的其他情形，管理人将本着投资者利益最大化的原则，根据实际情况选择分次清算、兑付或延期兑付。</w:t>
      </w:r>
    </w:p>
    <w:p>
      <w:pPr>
        <w:adjustRightInd w:val="0"/>
        <w:snapToGrid w:val="0"/>
        <w:spacing w:line="286" w:lineRule="auto"/>
        <w:rPr>
          <w:sz w:val="18"/>
          <w:szCs w:val="18"/>
        </w:rPr>
      </w:pPr>
      <w:r>
        <w:rPr>
          <w:rFonts w:hint="eastAsia"/>
          <w:sz w:val="18"/>
          <w:szCs w:val="18"/>
        </w:rPr>
        <w:t>【相关费用】</w:t>
      </w:r>
    </w:p>
    <w:p>
      <w:pPr>
        <w:adjustRightInd w:val="0"/>
        <w:snapToGrid w:val="0"/>
        <w:spacing w:line="286" w:lineRule="auto"/>
        <w:rPr>
          <w:sz w:val="18"/>
          <w:szCs w:val="18"/>
        </w:rPr>
      </w:pPr>
      <w:r>
        <w:rPr>
          <w:rFonts w:hint="eastAsia"/>
          <w:sz w:val="18"/>
          <w:szCs w:val="18"/>
        </w:rPr>
        <w:t>（1）理财管理人的固定管理费</w:t>
      </w:r>
    </w:p>
    <w:p>
      <w:pPr>
        <w:adjustRightInd w:val="0"/>
        <w:snapToGrid w:val="0"/>
        <w:spacing w:line="286" w:lineRule="auto"/>
        <w:rPr>
          <w:sz w:val="18"/>
          <w:szCs w:val="18"/>
        </w:rPr>
      </w:pPr>
      <w:r>
        <w:rPr>
          <w:rFonts w:hint="eastAsia"/>
          <w:sz w:val="18"/>
          <w:szCs w:val="18"/>
        </w:rPr>
        <w:t>理财管理人对委托资产收取的固定管理费，理财计划财产的年固定管理费率为0.8%（最高），计算方法如下：</w:t>
      </w:r>
    </w:p>
    <w:p>
      <w:pPr>
        <w:adjustRightInd w:val="0"/>
        <w:snapToGrid w:val="0"/>
        <w:spacing w:line="288" w:lineRule="auto"/>
        <w:rPr>
          <w:sz w:val="18"/>
          <w:szCs w:val="18"/>
        </w:rPr>
      </w:pPr>
      <w:r>
        <w:rPr>
          <w:rFonts w:hint="eastAsia"/>
          <w:sz w:val="18"/>
          <w:szCs w:val="18"/>
        </w:rPr>
        <w:t>若本理财产品扣除产品固定管理费、托管费及其他费用（如有）后</w:t>
      </w:r>
      <w:r>
        <w:rPr>
          <w:sz w:val="18"/>
          <w:szCs w:val="18"/>
        </w:rPr>
        <w:t>,</w:t>
      </w:r>
      <w:r>
        <w:rPr>
          <w:rFonts w:hint="eastAsia"/>
          <w:sz w:val="18"/>
          <w:szCs w:val="18"/>
        </w:rPr>
        <w:t>期末累计单位净值年化增长率超过业绩比较基准，则温州银行按0</w:t>
      </w:r>
      <w:r>
        <w:rPr>
          <w:sz w:val="18"/>
          <w:szCs w:val="18"/>
        </w:rPr>
        <w:t>.</w:t>
      </w:r>
      <w:r>
        <w:rPr>
          <w:rFonts w:hint="eastAsia"/>
          <w:sz w:val="18"/>
          <w:szCs w:val="18"/>
        </w:rPr>
        <w:t>8%（年化）收取固定管理费；若本理财产品扣除产品固定管理费、托管费及其他费用（如有）后</w:t>
      </w:r>
      <w:r>
        <w:rPr>
          <w:sz w:val="18"/>
          <w:szCs w:val="18"/>
        </w:rPr>
        <w:t>,</w:t>
      </w:r>
      <w:r>
        <w:rPr>
          <w:rFonts w:hint="eastAsia"/>
          <w:sz w:val="18"/>
          <w:szCs w:val="18"/>
        </w:rPr>
        <w:t>期末累计单位净值年化增长率低于业绩比较基准，则温州银行将减免与业绩比较基准的差额部分，减免上限最高不超过0</w:t>
      </w:r>
      <w:r>
        <w:rPr>
          <w:sz w:val="18"/>
          <w:szCs w:val="18"/>
        </w:rPr>
        <w:t>.</w:t>
      </w:r>
      <w:r>
        <w:rPr>
          <w:rFonts w:hint="eastAsia"/>
          <w:sz w:val="18"/>
          <w:szCs w:val="18"/>
        </w:rPr>
        <w:t>8%（年化）</w:t>
      </w:r>
      <w:r>
        <w:rPr>
          <w:sz w:val="18"/>
          <w:szCs w:val="18"/>
        </w:rPr>
        <w:t>。</w:t>
      </w:r>
      <w:r>
        <w:rPr>
          <w:rFonts w:hint="eastAsia"/>
          <w:sz w:val="18"/>
          <w:szCs w:val="18"/>
        </w:rPr>
        <w:t>计算方法如下：</w:t>
      </w:r>
    </w:p>
    <w:p>
      <w:pPr>
        <w:adjustRightInd w:val="0"/>
        <w:snapToGrid w:val="0"/>
        <w:spacing w:line="286" w:lineRule="auto"/>
        <w:rPr>
          <w:sz w:val="18"/>
          <w:szCs w:val="18"/>
        </w:rPr>
      </w:pPr>
      <w:r>
        <w:rPr>
          <w:rFonts w:hint="eastAsia"/>
          <w:sz w:val="18"/>
          <w:szCs w:val="18"/>
        </w:rPr>
        <w:t>H＝E×固定管理费率÷365</w:t>
      </w:r>
    </w:p>
    <w:p>
      <w:pPr>
        <w:adjustRightInd w:val="0"/>
        <w:snapToGrid w:val="0"/>
        <w:spacing w:line="286" w:lineRule="auto"/>
        <w:rPr>
          <w:sz w:val="18"/>
          <w:szCs w:val="18"/>
        </w:rPr>
      </w:pPr>
      <w:r>
        <w:rPr>
          <w:rFonts w:hint="eastAsia"/>
          <w:sz w:val="18"/>
          <w:szCs w:val="18"/>
        </w:rPr>
        <w:t>H为每日应计提的固定管理费</w:t>
      </w:r>
    </w:p>
    <w:p>
      <w:pPr>
        <w:adjustRightInd w:val="0"/>
        <w:snapToGrid w:val="0"/>
        <w:spacing w:line="286" w:lineRule="auto"/>
        <w:rPr>
          <w:sz w:val="18"/>
          <w:szCs w:val="18"/>
        </w:rPr>
      </w:pPr>
      <w:r>
        <w:rPr>
          <w:rFonts w:hint="eastAsia"/>
          <w:sz w:val="18"/>
          <w:szCs w:val="18"/>
        </w:rPr>
        <w:t>E为本计划前一日资产净值</w:t>
      </w:r>
    </w:p>
    <w:p>
      <w:pPr>
        <w:adjustRightInd w:val="0"/>
        <w:snapToGrid w:val="0"/>
        <w:spacing w:line="286" w:lineRule="auto"/>
        <w:rPr>
          <w:sz w:val="18"/>
          <w:szCs w:val="18"/>
        </w:rPr>
      </w:pPr>
      <w:r>
        <w:rPr>
          <w:rFonts w:hint="eastAsia"/>
          <w:sz w:val="18"/>
          <w:szCs w:val="18"/>
        </w:rPr>
        <w:t>第一日固定管理费为第一日委托资产本金×固定管理费率÷</w:t>
      </w:r>
      <w:r>
        <w:rPr>
          <w:sz w:val="18"/>
          <w:szCs w:val="18"/>
        </w:rPr>
        <w:t>365</w:t>
      </w:r>
      <w:r>
        <w:rPr>
          <w:rFonts w:hint="eastAsia"/>
          <w:sz w:val="18"/>
          <w:szCs w:val="18"/>
        </w:rPr>
        <w:t>。</w:t>
      </w:r>
    </w:p>
    <w:p>
      <w:pPr>
        <w:adjustRightInd w:val="0"/>
        <w:snapToGrid w:val="0"/>
        <w:spacing w:line="286" w:lineRule="auto"/>
        <w:rPr>
          <w:sz w:val="18"/>
          <w:szCs w:val="18"/>
        </w:rPr>
      </w:pPr>
      <w:r>
        <w:rPr>
          <w:rFonts w:hint="eastAsia"/>
          <w:sz w:val="18"/>
          <w:szCs w:val="18"/>
        </w:rPr>
        <w:t>固定管理费原则上按日计提，逐日累计至</w:t>
      </w:r>
      <w:r>
        <w:rPr>
          <w:rFonts w:hint="eastAsia" w:ascii="宋体" w:hAnsi="宋体"/>
          <w:sz w:val="18"/>
          <w:lang w:val="zh-CN"/>
        </w:rPr>
        <w:t>每个投资运作周期到期日</w:t>
      </w:r>
      <w:r>
        <w:rPr>
          <w:rFonts w:hint="eastAsia"/>
          <w:sz w:val="18"/>
          <w:szCs w:val="18"/>
        </w:rPr>
        <w:t>从理财计划财产中扣除。</w:t>
      </w:r>
    </w:p>
    <w:p>
      <w:pPr>
        <w:adjustRightInd w:val="0"/>
        <w:snapToGrid w:val="0"/>
        <w:spacing w:line="286" w:lineRule="auto"/>
        <w:rPr>
          <w:sz w:val="18"/>
          <w:szCs w:val="18"/>
        </w:rPr>
      </w:pPr>
      <w:r>
        <w:rPr>
          <w:rFonts w:hint="eastAsia"/>
          <w:sz w:val="18"/>
          <w:szCs w:val="18"/>
        </w:rPr>
        <w:t>（2）理财管理人的浮动管理费</w:t>
      </w:r>
    </w:p>
    <w:p>
      <w:pPr>
        <w:adjustRightInd w:val="0"/>
        <w:snapToGrid w:val="0"/>
        <w:spacing w:line="286" w:lineRule="auto"/>
        <w:rPr>
          <w:sz w:val="18"/>
          <w:szCs w:val="18"/>
        </w:rPr>
      </w:pPr>
      <w:r>
        <w:rPr>
          <w:rFonts w:hint="eastAsia"/>
          <w:sz w:val="18"/>
          <w:szCs w:val="18"/>
        </w:rPr>
        <w:t>理财管理人对委托资产收取的浮动管理费，按每自然日计提，计算方法如下：</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=F</w:t>
      </w:r>
      <w:r>
        <w:rPr>
          <w:rFonts w:hint="eastAsia"/>
          <w:sz w:val="18"/>
          <w:szCs w:val="18"/>
          <w:vertAlign w:val="subscript"/>
        </w:rPr>
        <w:t>T</w:t>
      </w:r>
      <w:r>
        <w:rPr>
          <w:rFonts w:hint="eastAsia"/>
          <w:sz w:val="18"/>
          <w:szCs w:val="18"/>
        </w:rPr>
        <w:t>-F</w:t>
      </w:r>
      <w:r>
        <w:rPr>
          <w:rFonts w:hint="eastAsia"/>
          <w:sz w:val="18"/>
          <w:szCs w:val="18"/>
          <w:vertAlign w:val="subscript"/>
        </w:rPr>
        <w:t>（T-1）</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=MAX（F</w:t>
      </w:r>
      <w:r>
        <w:rPr>
          <w:rFonts w:hint="eastAsia"/>
          <w:sz w:val="18"/>
          <w:szCs w:val="18"/>
          <w:vertAlign w:val="subscript"/>
        </w:rPr>
        <w:t>0</w:t>
      </w:r>
      <w:r>
        <w:rPr>
          <w:rFonts w:hint="eastAsia"/>
          <w:sz w:val="18"/>
          <w:szCs w:val="18"/>
        </w:rPr>
        <w:t>+（A- A</w:t>
      </w:r>
      <w:r>
        <w:rPr>
          <w:rFonts w:hint="eastAsia"/>
          <w:sz w:val="18"/>
          <w:szCs w:val="18"/>
          <w:vertAlign w:val="subscript"/>
        </w:rPr>
        <w:t>0</w:t>
      </w:r>
      <w:r>
        <w:rPr>
          <w:sz w:val="18"/>
          <w:szCs w:val="18"/>
        </w:rPr>
        <w:t>×</w:t>
      </w:r>
      <w:r>
        <w:rPr>
          <w:rFonts w:hint="eastAsia"/>
          <w:sz w:val="18"/>
          <w:szCs w:val="18"/>
        </w:rPr>
        <w:t>（1+R</w:t>
      </w:r>
      <w:r>
        <w:rPr>
          <w:rFonts w:hint="eastAsia"/>
          <w:sz w:val="18"/>
          <w:szCs w:val="18"/>
          <w:vertAlign w:val="subscript"/>
        </w:rPr>
        <w:t xml:space="preserve"> i</w:t>
      </w:r>
      <w:r>
        <w:rPr>
          <w:sz w:val="18"/>
          <w:szCs w:val="18"/>
        </w:rPr>
        <w:t>×</w:t>
      </w:r>
      <w:r>
        <w:rPr>
          <w:rFonts w:hint="eastAsia"/>
          <w:sz w:val="18"/>
          <w:szCs w:val="18"/>
        </w:rPr>
        <w:t>T</w:t>
      </w:r>
      <w:r>
        <w:rPr>
          <w:sz w:val="18"/>
          <w:szCs w:val="18"/>
        </w:rPr>
        <w:t>÷365</w:t>
      </w:r>
      <w:r>
        <w:rPr>
          <w:rFonts w:hint="eastAsia"/>
          <w:sz w:val="18"/>
          <w:szCs w:val="18"/>
        </w:rPr>
        <w:t>））×80%，0）</w:t>
      </w:r>
    </w:p>
    <w:p>
      <w:pPr>
        <w:adjustRightInd w:val="0"/>
        <w:snapToGrid w:val="0"/>
        <w:spacing w:line="286" w:lineRule="auto"/>
        <w:rPr>
          <w:sz w:val="18"/>
          <w:szCs w:val="18"/>
        </w:rPr>
      </w:pPr>
      <w:r>
        <w:rPr>
          <w:rFonts w:hint="eastAsia"/>
          <w:sz w:val="18"/>
          <w:szCs w:val="18"/>
        </w:rPr>
        <w:t>其中：</w:t>
      </w:r>
    </w:p>
    <w:p>
      <w:pPr>
        <w:adjustRightInd w:val="0"/>
        <w:snapToGrid w:val="0"/>
        <w:spacing w:line="286" w:lineRule="auto"/>
        <w:rPr>
          <w:sz w:val="18"/>
          <w:szCs w:val="18"/>
        </w:rPr>
      </w:pPr>
      <w:r>
        <w:rPr>
          <w:rFonts w:hint="eastAsia"/>
          <w:sz w:val="18"/>
          <w:szCs w:val="18"/>
        </w:rPr>
        <w:t>S</w:t>
      </w:r>
      <w:r>
        <w:rPr>
          <w:rFonts w:hint="eastAsia"/>
          <w:sz w:val="18"/>
          <w:szCs w:val="18"/>
          <w:vertAlign w:val="subscript"/>
        </w:rPr>
        <w:t>T</w:t>
      </w:r>
      <w:r>
        <w:rPr>
          <w:rFonts w:hint="eastAsia"/>
          <w:sz w:val="18"/>
          <w:szCs w:val="18"/>
        </w:rPr>
        <w:t>为每日应计提的浮动管理费，当计提后的浮动管理费余额小于0时，则当日不再予以计提。</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T</w:t>
      </w:r>
      <w:r>
        <w:rPr>
          <w:rFonts w:hint="eastAsia"/>
          <w:sz w:val="18"/>
          <w:szCs w:val="18"/>
        </w:rPr>
        <w:t>为当日已计提且未扣除的浮动管理费余额，F</w:t>
      </w:r>
      <w:r>
        <w:rPr>
          <w:rFonts w:hint="eastAsia"/>
          <w:sz w:val="18"/>
          <w:szCs w:val="18"/>
          <w:vertAlign w:val="subscript"/>
        </w:rPr>
        <w:t>（T-1）</w:t>
      </w:r>
      <w:r>
        <w:rPr>
          <w:rFonts w:hint="eastAsia"/>
          <w:sz w:val="18"/>
          <w:szCs w:val="18"/>
        </w:rPr>
        <w:t>为上一日已计提且未扣除的浮动管理费余额。</w:t>
      </w:r>
    </w:p>
    <w:p>
      <w:pPr>
        <w:adjustRightInd w:val="0"/>
        <w:snapToGrid w:val="0"/>
        <w:spacing w:line="286" w:lineRule="auto"/>
        <w:rPr>
          <w:sz w:val="18"/>
          <w:szCs w:val="18"/>
        </w:rPr>
      </w:pPr>
      <w:r>
        <w:rPr>
          <w:rFonts w:hint="eastAsia"/>
          <w:sz w:val="18"/>
          <w:szCs w:val="18"/>
        </w:rPr>
        <w:t>F</w:t>
      </w:r>
      <w:r>
        <w:rPr>
          <w:rFonts w:hint="eastAsia"/>
          <w:sz w:val="18"/>
          <w:szCs w:val="18"/>
          <w:vertAlign w:val="subscript"/>
        </w:rPr>
        <w:t>0</w:t>
      </w:r>
      <w:r>
        <w:rPr>
          <w:rFonts w:hint="eastAsia"/>
          <w:sz w:val="18"/>
          <w:szCs w:val="18"/>
        </w:rPr>
        <w:t>为本</w:t>
      </w:r>
      <w:r>
        <w:rPr>
          <w:sz w:val="18"/>
          <w:szCs w:val="18"/>
        </w:rPr>
        <w:t>周期起始日前</w:t>
      </w:r>
      <w:r>
        <w:rPr>
          <w:rFonts w:hint="eastAsia"/>
          <w:sz w:val="18"/>
          <w:szCs w:val="18"/>
        </w:rPr>
        <w:t>一日已计提且未扣除的浮动管理费余额。</w:t>
      </w:r>
    </w:p>
    <w:p>
      <w:pPr>
        <w:adjustRightInd w:val="0"/>
        <w:snapToGrid w:val="0"/>
        <w:spacing w:line="286" w:lineRule="auto"/>
        <w:rPr>
          <w:sz w:val="18"/>
          <w:szCs w:val="18"/>
        </w:rPr>
      </w:pPr>
      <w:r>
        <w:rPr>
          <w:sz w:val="18"/>
          <w:szCs w:val="18"/>
        </w:rPr>
        <w:t>A为当日扣除</w:t>
      </w:r>
      <w:r>
        <w:rPr>
          <w:rFonts w:hint="eastAsia"/>
          <w:sz w:val="18"/>
          <w:szCs w:val="18"/>
        </w:rPr>
        <w:t>浮动</w:t>
      </w:r>
      <w:r>
        <w:rPr>
          <w:sz w:val="18"/>
          <w:szCs w:val="18"/>
        </w:rPr>
        <w:t>管理费</w:t>
      </w:r>
      <w:r>
        <w:rPr>
          <w:rFonts w:hint="eastAsia"/>
          <w:sz w:val="18"/>
          <w:szCs w:val="18"/>
        </w:rPr>
        <w:t>前</w:t>
      </w:r>
      <w:r>
        <w:rPr>
          <w:sz w:val="18"/>
          <w:szCs w:val="18"/>
        </w:rPr>
        <w:t>以及除权分红前的产品资产净值</w:t>
      </w:r>
      <w:r>
        <w:rPr>
          <w:rFonts w:hint="eastAsia"/>
          <w:sz w:val="18"/>
          <w:szCs w:val="18"/>
        </w:rPr>
        <w:t>。</w:t>
      </w:r>
    </w:p>
    <w:p>
      <w:pPr>
        <w:adjustRightInd w:val="0"/>
        <w:snapToGrid w:val="0"/>
        <w:spacing w:line="286" w:lineRule="auto"/>
        <w:rPr>
          <w:sz w:val="18"/>
          <w:szCs w:val="18"/>
        </w:rPr>
      </w:pPr>
      <w:r>
        <w:rPr>
          <w:rFonts w:hint="eastAsia"/>
          <w:sz w:val="18"/>
          <w:szCs w:val="18"/>
        </w:rPr>
        <w:t>A</w:t>
      </w:r>
      <w:r>
        <w:rPr>
          <w:rFonts w:hint="eastAsia"/>
          <w:sz w:val="18"/>
          <w:szCs w:val="18"/>
          <w:vertAlign w:val="subscript"/>
        </w:rPr>
        <w:t>0</w:t>
      </w:r>
      <w:r>
        <w:rPr>
          <w:sz w:val="18"/>
          <w:szCs w:val="18"/>
        </w:rPr>
        <w:t>为</w:t>
      </w:r>
      <w:r>
        <w:rPr>
          <w:rFonts w:hint="eastAsia"/>
          <w:sz w:val="18"/>
          <w:szCs w:val="18"/>
        </w:rPr>
        <w:t>【本</w:t>
      </w:r>
      <w:r>
        <w:rPr>
          <w:sz w:val="18"/>
          <w:szCs w:val="18"/>
        </w:rPr>
        <w:t>周期起始日前一日的产品资产净值÷</w:t>
      </w:r>
      <w:r>
        <w:rPr>
          <w:rFonts w:hint="eastAsia"/>
          <w:sz w:val="18"/>
          <w:szCs w:val="18"/>
        </w:rPr>
        <w:t>本</w:t>
      </w:r>
      <w:r>
        <w:rPr>
          <w:sz w:val="18"/>
          <w:szCs w:val="18"/>
        </w:rPr>
        <w:t>周期起始日前一日的</w:t>
      </w:r>
      <w:r>
        <w:rPr>
          <w:rFonts w:hint="eastAsia"/>
          <w:sz w:val="18"/>
          <w:szCs w:val="18"/>
        </w:rPr>
        <w:t>产品</w:t>
      </w:r>
      <w:r>
        <w:rPr>
          <w:sz w:val="18"/>
          <w:szCs w:val="18"/>
        </w:rPr>
        <w:t>份额×本周期</w:t>
      </w:r>
      <w:r>
        <w:rPr>
          <w:rFonts w:hint="eastAsia"/>
          <w:sz w:val="18"/>
          <w:szCs w:val="18"/>
        </w:rPr>
        <w:t>产品</w:t>
      </w:r>
      <w:r>
        <w:rPr>
          <w:sz w:val="18"/>
          <w:szCs w:val="18"/>
        </w:rPr>
        <w:t>份额（</w:t>
      </w:r>
      <w:r>
        <w:rPr>
          <w:rFonts w:hint="eastAsia"/>
          <w:sz w:val="18"/>
          <w:szCs w:val="18"/>
        </w:rPr>
        <w:t>首个投资</w:t>
      </w:r>
      <w:r>
        <w:rPr>
          <w:sz w:val="18"/>
          <w:szCs w:val="18"/>
        </w:rPr>
        <w:t>周期</w:t>
      </w:r>
      <w:r>
        <w:rPr>
          <w:rFonts w:hint="eastAsia"/>
          <w:sz w:val="18"/>
          <w:szCs w:val="18"/>
        </w:rPr>
        <w:t>该项等于</w:t>
      </w:r>
      <w:r>
        <w:rPr>
          <w:sz w:val="18"/>
          <w:szCs w:val="18"/>
        </w:rPr>
        <w:t>成立金额）</w:t>
      </w:r>
      <w:r>
        <w:rPr>
          <w:rFonts w:hint="eastAsia"/>
          <w:sz w:val="18"/>
          <w:szCs w:val="18"/>
        </w:rPr>
        <w:t>】</w:t>
      </w:r>
    </w:p>
    <w:p>
      <w:pPr>
        <w:adjustRightInd w:val="0"/>
        <w:snapToGrid w:val="0"/>
        <w:spacing w:line="286" w:lineRule="auto"/>
        <w:rPr>
          <w:sz w:val="18"/>
          <w:szCs w:val="18"/>
        </w:rPr>
      </w:pPr>
      <w:r>
        <w:rPr>
          <w:rFonts w:hint="eastAsia"/>
          <w:sz w:val="18"/>
          <w:szCs w:val="18"/>
        </w:rPr>
        <w:t>T</w:t>
      </w:r>
      <w:r>
        <w:rPr>
          <w:sz w:val="18"/>
          <w:szCs w:val="18"/>
        </w:rPr>
        <w:t>为本</w:t>
      </w:r>
      <w:r>
        <w:rPr>
          <w:rFonts w:hint="eastAsia"/>
          <w:sz w:val="18"/>
          <w:szCs w:val="18"/>
        </w:rPr>
        <w:t>投资</w:t>
      </w:r>
      <w:r>
        <w:rPr>
          <w:sz w:val="18"/>
          <w:szCs w:val="18"/>
        </w:rPr>
        <w:t>周期起始日（含）到</w:t>
      </w:r>
      <w:r>
        <w:rPr>
          <w:rFonts w:hint="eastAsia"/>
          <w:sz w:val="18"/>
          <w:szCs w:val="18"/>
        </w:rPr>
        <w:t>浮动管理费计提</w:t>
      </w:r>
      <w:r>
        <w:rPr>
          <w:sz w:val="18"/>
          <w:szCs w:val="18"/>
        </w:rPr>
        <w:t>日（含）的天数</w:t>
      </w:r>
      <w:r>
        <w:rPr>
          <w:rFonts w:hint="eastAsia"/>
          <w:sz w:val="18"/>
          <w:szCs w:val="18"/>
        </w:rPr>
        <w:t>。</w:t>
      </w:r>
    </w:p>
    <w:p>
      <w:pPr>
        <w:adjustRightInd w:val="0"/>
        <w:snapToGrid w:val="0"/>
        <w:spacing w:line="286" w:lineRule="auto"/>
        <w:rPr>
          <w:sz w:val="18"/>
          <w:szCs w:val="18"/>
        </w:rPr>
      </w:pPr>
      <w:r>
        <w:rPr>
          <w:rFonts w:hint="eastAsia"/>
          <w:sz w:val="18"/>
          <w:szCs w:val="18"/>
        </w:rPr>
        <w:t>R</w:t>
      </w:r>
      <w:r>
        <w:rPr>
          <w:rFonts w:hint="eastAsia"/>
          <w:sz w:val="18"/>
          <w:szCs w:val="18"/>
          <w:vertAlign w:val="subscript"/>
        </w:rPr>
        <w:t>i</w:t>
      </w:r>
      <w:r>
        <w:rPr>
          <w:sz w:val="18"/>
          <w:szCs w:val="18"/>
        </w:rPr>
        <w:t>为本周期业绩比较基准</w:t>
      </w:r>
      <w:r>
        <w:rPr>
          <w:rFonts w:hint="eastAsia"/>
          <w:sz w:val="18"/>
          <w:szCs w:val="18"/>
        </w:rPr>
        <w:t>，若业绩比较基准存在区间范围的，则为业绩比较基准区间均值</w:t>
      </w:r>
      <w:r>
        <w:rPr>
          <w:sz w:val="18"/>
          <w:szCs w:val="18"/>
        </w:rPr>
        <w:t>。</w:t>
      </w:r>
    </w:p>
    <w:p>
      <w:pPr>
        <w:adjustRightInd w:val="0"/>
        <w:snapToGrid w:val="0"/>
        <w:spacing w:line="286" w:lineRule="auto"/>
        <w:rPr>
          <w:sz w:val="18"/>
          <w:szCs w:val="18"/>
        </w:rPr>
      </w:pPr>
      <w:r>
        <w:rPr>
          <w:rFonts w:hint="eastAsia"/>
          <w:sz w:val="18"/>
          <w:szCs w:val="18"/>
        </w:rPr>
        <w:t>管理人有权根据理财计划实际运作情况对已计提的浮动管理费余额从理财计划财产中扣除，扣除上限不得超过已计提的浮动管理费余额。</w:t>
      </w:r>
    </w:p>
    <w:p>
      <w:pPr>
        <w:adjustRightInd w:val="0"/>
        <w:snapToGrid w:val="0"/>
        <w:spacing w:line="286" w:lineRule="auto"/>
        <w:rPr>
          <w:sz w:val="18"/>
          <w:szCs w:val="18"/>
        </w:rPr>
      </w:pPr>
      <w:r>
        <w:rPr>
          <w:rFonts w:hint="eastAsia"/>
          <w:sz w:val="18"/>
          <w:szCs w:val="18"/>
        </w:rPr>
        <w:t>注：计算过程不保留位数，最终浮动管理费保留2位小数。</w:t>
      </w:r>
    </w:p>
    <w:p>
      <w:pPr>
        <w:adjustRightInd w:val="0"/>
        <w:snapToGrid w:val="0"/>
        <w:spacing w:line="286" w:lineRule="auto"/>
        <w:rPr>
          <w:sz w:val="18"/>
          <w:szCs w:val="18"/>
        </w:rPr>
      </w:pPr>
      <w:r>
        <w:rPr>
          <w:rFonts w:hint="eastAsia"/>
          <w:sz w:val="18"/>
          <w:szCs w:val="18"/>
        </w:rPr>
        <w:t>（3）理财托管人的托管费</w:t>
      </w:r>
    </w:p>
    <w:p>
      <w:pPr>
        <w:adjustRightInd w:val="0"/>
        <w:snapToGrid w:val="0"/>
        <w:spacing w:line="286" w:lineRule="auto"/>
        <w:rPr>
          <w:sz w:val="18"/>
          <w:szCs w:val="18"/>
        </w:rPr>
      </w:pPr>
      <w:r>
        <w:rPr>
          <w:rFonts w:hint="eastAsia"/>
          <w:sz w:val="18"/>
          <w:szCs w:val="18"/>
        </w:rPr>
        <w:t>理财计划财产的年托管费率为0.005%，计算方法如下：</w:t>
      </w:r>
    </w:p>
    <w:p>
      <w:pPr>
        <w:adjustRightInd w:val="0"/>
        <w:snapToGrid w:val="0"/>
        <w:spacing w:line="286" w:lineRule="auto"/>
        <w:rPr>
          <w:sz w:val="18"/>
          <w:szCs w:val="18"/>
        </w:rPr>
      </w:pPr>
      <w:r>
        <w:rPr>
          <w:rFonts w:hint="eastAsia"/>
          <w:sz w:val="18"/>
          <w:szCs w:val="18"/>
        </w:rPr>
        <w:t>H＝E×0.005％÷365</w:t>
      </w:r>
    </w:p>
    <w:p>
      <w:pPr>
        <w:adjustRightInd w:val="0"/>
        <w:snapToGrid w:val="0"/>
        <w:spacing w:line="286" w:lineRule="auto"/>
        <w:rPr>
          <w:sz w:val="18"/>
          <w:szCs w:val="18"/>
        </w:rPr>
      </w:pPr>
      <w:r>
        <w:rPr>
          <w:rFonts w:hint="eastAsia"/>
          <w:sz w:val="18"/>
          <w:szCs w:val="18"/>
        </w:rPr>
        <w:t>H为每日应计提的托管费</w:t>
      </w:r>
    </w:p>
    <w:p>
      <w:pPr>
        <w:adjustRightInd w:val="0"/>
        <w:snapToGrid w:val="0"/>
        <w:spacing w:line="286" w:lineRule="auto"/>
        <w:rPr>
          <w:sz w:val="18"/>
          <w:szCs w:val="18"/>
        </w:rPr>
      </w:pPr>
      <w:r>
        <w:rPr>
          <w:rFonts w:hint="eastAsia"/>
          <w:sz w:val="18"/>
          <w:szCs w:val="18"/>
        </w:rPr>
        <w:t>E为本计划前一自然日资产净值，第一日托管费=第一日理财产品本金余额×托管费率÷365。</w:t>
      </w:r>
    </w:p>
    <w:p>
      <w:pPr>
        <w:adjustRightInd w:val="0"/>
        <w:snapToGrid w:val="0"/>
        <w:spacing w:line="286" w:lineRule="auto"/>
        <w:rPr>
          <w:sz w:val="18"/>
          <w:szCs w:val="18"/>
        </w:rPr>
      </w:pPr>
      <w:r>
        <w:rPr>
          <w:rFonts w:hint="eastAsia"/>
          <w:sz w:val="18"/>
          <w:szCs w:val="18"/>
        </w:rPr>
        <w:t>托管费原则上按日计提，逐日累计至每个投资运作周期到期日从理财计划财产中扣除。</w:t>
      </w:r>
    </w:p>
    <w:p>
      <w:pPr>
        <w:adjustRightInd w:val="0"/>
        <w:snapToGrid w:val="0"/>
        <w:spacing w:line="286" w:lineRule="auto"/>
        <w:rPr>
          <w:sz w:val="18"/>
          <w:szCs w:val="18"/>
        </w:rPr>
      </w:pPr>
      <w:r>
        <w:rPr>
          <w:rFonts w:hint="eastAsia"/>
          <w:sz w:val="18"/>
          <w:szCs w:val="18"/>
        </w:rPr>
        <w:t>（4）其他费用（如有）：交易费用（包括但不限于交易佣金、撮合费用等）、理财计划外包估值服务费、理财计划验资费、审计费、律师费、信息披露费、清算费、执行费用等相关费用，具体以实际发生为准。</w:t>
      </w:r>
    </w:p>
    <w:p>
      <w:pPr>
        <w:adjustRightInd w:val="0"/>
        <w:snapToGrid w:val="0"/>
        <w:spacing w:line="286" w:lineRule="auto"/>
        <w:rPr>
          <w:sz w:val="18"/>
          <w:szCs w:val="18"/>
        </w:rPr>
      </w:pPr>
      <w:r>
        <w:rPr>
          <w:rFonts w:hint="eastAsia"/>
          <w:sz w:val="18"/>
          <w:szCs w:val="18"/>
        </w:rPr>
        <w:t>【投资者所得收益】</w:t>
      </w:r>
    </w:p>
    <w:p>
      <w:pPr>
        <w:adjustRightInd w:val="0"/>
        <w:snapToGrid w:val="0"/>
        <w:spacing w:line="286" w:lineRule="auto"/>
        <w:rPr>
          <w:sz w:val="18"/>
          <w:szCs w:val="18"/>
        </w:rPr>
      </w:pPr>
      <w:r>
        <w:rPr>
          <w:rFonts w:hint="eastAsia"/>
          <w:sz w:val="18"/>
          <w:szCs w:val="18"/>
        </w:rPr>
        <w:t>（1）计算公式</w:t>
      </w:r>
    </w:p>
    <w:p>
      <w:pPr>
        <w:adjustRightInd w:val="0"/>
        <w:snapToGrid w:val="0"/>
        <w:spacing w:line="286" w:lineRule="auto"/>
        <w:rPr>
          <w:sz w:val="18"/>
          <w:szCs w:val="18"/>
        </w:rPr>
      </w:pPr>
      <w:r>
        <w:rPr>
          <w:rFonts w:hint="eastAsia"/>
          <w:sz w:val="18"/>
          <w:szCs w:val="18"/>
        </w:rPr>
        <w:t>投资者理财收益＝认购/申购份额×投资运作周期到期日（提前终止日）理财产品总净值÷理财产品总份额—认购/申购金额。</w:t>
      </w:r>
    </w:p>
    <w:p>
      <w:pPr>
        <w:adjustRightInd w:val="0"/>
        <w:snapToGrid w:val="0"/>
        <w:spacing w:line="286" w:lineRule="auto"/>
        <w:rPr>
          <w:sz w:val="18"/>
          <w:szCs w:val="18"/>
        </w:rPr>
      </w:pPr>
      <w:r>
        <w:rPr>
          <w:rFonts w:hint="eastAsia"/>
          <w:sz w:val="18"/>
          <w:szCs w:val="18"/>
        </w:rPr>
        <w:t>注：上述公式中“投资运作周期到期日（提前终止日）理财产品总净值”为本理财产品资产在扣除托管费、固定管理费、浮动管理费及税费、其他费用等相关费用后计算产生的理财产品总净值。</w:t>
      </w:r>
    </w:p>
    <w:p>
      <w:pPr>
        <w:adjustRightInd w:val="0"/>
        <w:snapToGrid w:val="0"/>
        <w:spacing w:line="286" w:lineRule="auto"/>
        <w:rPr>
          <w:sz w:val="18"/>
          <w:szCs w:val="18"/>
        </w:rPr>
      </w:pPr>
      <w:r>
        <w:rPr>
          <w:rFonts w:hint="eastAsia"/>
          <w:sz w:val="18"/>
          <w:szCs w:val="18"/>
        </w:rPr>
        <w:t>【本金及理财收益风险】</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）本理财计划不保障本金及收益</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）风险示例</w:t>
      </w:r>
    </w:p>
    <w:p>
      <w:pPr>
        <w:adjustRightInd w:val="0"/>
        <w:snapToGrid w:val="0"/>
        <w:spacing w:line="286" w:lineRule="auto"/>
        <w:rPr>
          <w:sz w:val="18"/>
          <w:szCs w:val="18"/>
        </w:rPr>
      </w:pPr>
      <w:r>
        <w:rPr>
          <w:rFonts w:hint="eastAsia"/>
          <w:sz w:val="18"/>
          <w:szCs w:val="18"/>
        </w:rPr>
        <w:t>本理财计划本金及实际理财年化收益率取决于所投资资产组合的收益率水平，受</w:t>
      </w:r>
      <w:r>
        <w:rPr>
          <w:rFonts w:ascii="宋体" w:hAnsi="宋体"/>
          <w:sz w:val="18"/>
          <w:szCs w:val="18"/>
        </w:rPr>
        <w:t>债券市场</w:t>
      </w:r>
      <w:r>
        <w:rPr>
          <w:rFonts w:hint="eastAsia" w:ascii="宋体" w:hAnsi="宋体"/>
          <w:sz w:val="18"/>
          <w:szCs w:val="18"/>
        </w:rPr>
        <w:t>、资本市场</w:t>
      </w:r>
      <w:r>
        <w:rPr>
          <w:rFonts w:ascii="宋体" w:hAnsi="宋体"/>
          <w:sz w:val="18"/>
          <w:szCs w:val="18"/>
        </w:rPr>
        <w:t>变化或波动</w:t>
      </w:r>
      <w:r>
        <w:rPr>
          <w:rFonts w:hint="eastAsia"/>
          <w:sz w:val="18"/>
          <w:szCs w:val="18"/>
        </w:rPr>
        <w:t>，投资管理方投资能力有限等因素的影响。</w:t>
      </w:r>
    </w:p>
    <w:p>
      <w:pPr>
        <w:adjustRightInd w:val="0"/>
        <w:snapToGrid w:val="0"/>
        <w:spacing w:line="286" w:lineRule="auto"/>
        <w:rPr>
          <w:sz w:val="18"/>
          <w:szCs w:val="18"/>
        </w:rPr>
      </w:pPr>
      <w:r>
        <w:rPr>
          <w:rFonts w:hint="eastAsia"/>
          <w:sz w:val="18"/>
          <w:szCs w:val="18"/>
        </w:rPr>
        <w:t>若到期投资资产未能按时足额收回本金及投资收益，本理财计划将根据投资组合本金及收益实际回收情况，按照每一客户认购（申购）金额占本产品所有募集资金总额的比例分配已收回的理财资金：若到期投资资产只能收回本金及部分收益，则理财年化收益率可能低于预期；若到期投资组合未能获得任何收益，只能收回部分本金，则本理财计划收益为负，投资者将损失部分本金；若到期发生投资标的发行人及担保人完全丧失债务清偿能力的最不利情况，投资者将损失全部本金。</w:t>
      </w:r>
    </w:p>
    <w:p>
      <w:pPr>
        <w:adjustRightInd w:val="0"/>
        <w:snapToGrid w:val="0"/>
        <w:spacing w:line="286" w:lineRule="auto"/>
        <w:rPr>
          <w:sz w:val="18"/>
          <w:szCs w:val="18"/>
        </w:rPr>
      </w:pPr>
      <w:r>
        <w:rPr>
          <w:rFonts w:hint="eastAsia"/>
          <w:sz w:val="18"/>
          <w:szCs w:val="18"/>
        </w:rPr>
        <w:t>【理财计划提前终止时投资者所得收益】</w:t>
      </w:r>
    </w:p>
    <w:p>
      <w:pPr>
        <w:adjustRightInd w:val="0"/>
        <w:snapToGrid w:val="0"/>
        <w:spacing w:line="286" w:lineRule="auto"/>
        <w:rPr>
          <w:sz w:val="18"/>
          <w:szCs w:val="18"/>
        </w:rPr>
      </w:pPr>
      <w:r>
        <w:rPr>
          <w:rFonts w:hint="eastAsia"/>
          <w:sz w:val="18"/>
          <w:szCs w:val="18"/>
        </w:rPr>
        <w:t>在理财期内，如温州银行在特定情况下提前终止理财计划，此时投资者的理财收益仍按照上述“投资者所得收益”条款中的计算公式计算。</w:t>
      </w:r>
    </w:p>
    <w:p>
      <w:pPr>
        <w:adjustRightInd w:val="0"/>
        <w:snapToGrid w:val="0"/>
        <w:spacing w:line="286" w:lineRule="auto"/>
        <w:rPr>
          <w:b/>
          <w:sz w:val="18"/>
          <w:szCs w:val="18"/>
        </w:rPr>
      </w:pPr>
      <w:r>
        <w:rPr>
          <w:rFonts w:hint="eastAsia"/>
          <w:b/>
          <w:sz w:val="18"/>
          <w:szCs w:val="18"/>
        </w:rPr>
        <w:t>理财</w:t>
      </w:r>
      <w:r>
        <w:rPr>
          <w:b/>
          <w:sz w:val="18"/>
          <w:szCs w:val="18"/>
        </w:rPr>
        <w:t>计划</w:t>
      </w:r>
      <w:r>
        <w:rPr>
          <w:rFonts w:hint="eastAsia"/>
          <w:b/>
          <w:sz w:val="18"/>
          <w:szCs w:val="18"/>
        </w:rPr>
        <w:t>到期日</w:t>
      </w:r>
      <w:r>
        <w:rPr>
          <w:b/>
          <w:sz w:val="18"/>
          <w:szCs w:val="18"/>
        </w:rPr>
        <w:t>和利益分配</w:t>
      </w:r>
    </w:p>
    <w:p>
      <w:pPr>
        <w:adjustRightInd w:val="0"/>
        <w:snapToGrid w:val="0"/>
        <w:spacing w:line="286" w:lineRule="auto"/>
        <w:rPr>
          <w:sz w:val="18"/>
          <w:szCs w:val="18"/>
        </w:rPr>
      </w:pPr>
      <w:r>
        <w:rPr>
          <w:rFonts w:hint="eastAsia"/>
          <w:sz w:val="18"/>
          <w:szCs w:val="18"/>
        </w:rPr>
        <w:t>1.投资者持有本理财计划期间及到期时，温州银行不承诺保证本金安全且不保证理财收益，投资者在到期日的应得收益（如有）随投资盈亏水平浮动。</w:t>
      </w:r>
    </w:p>
    <w:p>
      <w:pPr>
        <w:adjustRightInd w:val="0"/>
        <w:snapToGrid w:val="0"/>
        <w:spacing w:line="286" w:lineRule="auto"/>
        <w:rPr>
          <w:sz w:val="18"/>
          <w:szCs w:val="18"/>
        </w:rPr>
      </w:pPr>
      <w:r>
        <w:rPr>
          <w:rFonts w:hint="eastAsia"/>
          <w:sz w:val="18"/>
          <w:szCs w:val="18"/>
        </w:rPr>
        <w:t>2</w:t>
      </w:r>
      <w:r>
        <w:rPr>
          <w:sz w:val="18"/>
          <w:szCs w:val="18"/>
        </w:rPr>
        <w:t>. 理财计划项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投资者理财计划到期日应得资金（如有，下同）计算公式如下：</w:t>
      </w:r>
    </w:p>
    <w:p>
      <w:pPr>
        <w:adjustRightInd w:val="0"/>
        <w:snapToGrid w:val="0"/>
        <w:spacing w:line="286" w:lineRule="auto"/>
        <w:rPr>
          <w:sz w:val="18"/>
          <w:szCs w:val="18"/>
        </w:rPr>
      </w:pPr>
      <w:r>
        <w:rPr>
          <w:rFonts w:hint="eastAsia"/>
          <w:sz w:val="18"/>
          <w:szCs w:val="18"/>
        </w:rPr>
        <w:t>投资者应得资金</w:t>
      </w:r>
      <w:r>
        <w:rPr>
          <w:sz w:val="18"/>
          <w:szCs w:val="18"/>
        </w:rPr>
        <w:t xml:space="preserve"> = </w:t>
      </w:r>
      <w:r>
        <w:rPr>
          <w:rFonts w:hint="eastAsia"/>
          <w:sz w:val="18"/>
          <w:szCs w:val="18"/>
        </w:rPr>
        <w:t>投资者理财计划到期日持有理财计划份额×理财计划到期日理财计划份额净值</w:t>
      </w:r>
      <w:r>
        <w:rPr>
          <w:sz w:val="18"/>
          <w:szCs w:val="18"/>
        </w:rPr>
        <w:t>-税费（如有）</w:t>
      </w:r>
    </w:p>
    <w:p>
      <w:pPr>
        <w:adjustRightInd w:val="0"/>
        <w:snapToGrid w:val="0"/>
        <w:spacing w:line="286" w:lineRule="auto"/>
        <w:rPr>
          <w:sz w:val="18"/>
          <w:szCs w:val="18"/>
        </w:rPr>
      </w:pPr>
      <w:r>
        <w:rPr>
          <w:rFonts w:hint="eastAsia"/>
          <w:sz w:val="18"/>
          <w:szCs w:val="18"/>
        </w:rPr>
        <w:t>如因理财</w:t>
      </w:r>
      <w:r>
        <w:rPr>
          <w:sz w:val="18"/>
          <w:szCs w:val="18"/>
        </w:rPr>
        <w:t>计划项</w:t>
      </w:r>
      <w:r>
        <w:rPr>
          <w:rFonts w:hint="eastAsia"/>
          <w:sz w:val="18"/>
          <w:szCs w:val="18"/>
        </w:rPr>
        <w:t>下债券</w:t>
      </w:r>
      <w:r>
        <w:rPr>
          <w:sz w:val="18"/>
          <w:szCs w:val="18"/>
        </w:rPr>
        <w:t>违约等原因，导致资产</w:t>
      </w:r>
      <w:r>
        <w:rPr>
          <w:rFonts w:hint="eastAsia"/>
          <w:sz w:val="18"/>
          <w:szCs w:val="18"/>
        </w:rPr>
        <w:t>无法</w:t>
      </w:r>
      <w:r>
        <w:rPr>
          <w:sz w:val="18"/>
          <w:szCs w:val="18"/>
        </w:rPr>
        <w:t>在</w:t>
      </w:r>
      <w:r>
        <w:rPr>
          <w:rFonts w:hint="eastAsia"/>
          <w:sz w:val="18"/>
          <w:szCs w:val="18"/>
        </w:rPr>
        <w:t>理财计划到期日内变现</w:t>
      </w:r>
      <w:r>
        <w:rPr>
          <w:sz w:val="18"/>
          <w:szCs w:val="18"/>
        </w:rPr>
        <w:t>，</w:t>
      </w:r>
      <w:r>
        <w:rPr>
          <w:rFonts w:hint="eastAsia"/>
          <w:sz w:val="18"/>
          <w:szCs w:val="18"/>
        </w:rPr>
        <w:t>则</w:t>
      </w:r>
      <w:r>
        <w:rPr>
          <w:sz w:val="18"/>
          <w:szCs w:val="18"/>
        </w:rPr>
        <w:t>投资者</w:t>
      </w:r>
      <w:r>
        <w:rPr>
          <w:rFonts w:hint="eastAsia"/>
          <w:sz w:val="18"/>
          <w:szCs w:val="18"/>
        </w:rPr>
        <w:t>应</w:t>
      </w:r>
      <w:r>
        <w:rPr>
          <w:sz w:val="18"/>
          <w:szCs w:val="18"/>
        </w:rPr>
        <w:t>得</w:t>
      </w:r>
      <w:r>
        <w:rPr>
          <w:rFonts w:hint="eastAsia"/>
          <w:sz w:val="18"/>
          <w:szCs w:val="18"/>
        </w:rPr>
        <w:t>资金为</w:t>
      </w:r>
      <w:r>
        <w:rPr>
          <w:sz w:val="18"/>
          <w:szCs w:val="18"/>
        </w:rPr>
        <w:t>实际资产变现</w:t>
      </w:r>
      <w:r>
        <w:rPr>
          <w:rFonts w:hint="eastAsia"/>
          <w:sz w:val="18"/>
          <w:szCs w:val="18"/>
        </w:rPr>
        <w:t>金额</w:t>
      </w:r>
      <w:r>
        <w:rPr>
          <w:sz w:val="18"/>
          <w:szCs w:val="18"/>
        </w:rPr>
        <w:t>扣除应由理财计划承担的费用</w:t>
      </w:r>
      <w:r>
        <w:rPr>
          <w:rFonts w:hint="eastAsia"/>
          <w:sz w:val="18"/>
          <w:szCs w:val="18"/>
        </w:rPr>
        <w:t>、</w:t>
      </w:r>
      <w:r>
        <w:rPr>
          <w:sz w:val="18"/>
          <w:szCs w:val="18"/>
        </w:rPr>
        <w:t>税费</w:t>
      </w:r>
      <w:r>
        <w:rPr>
          <w:rFonts w:hint="eastAsia"/>
          <w:sz w:val="18"/>
          <w:szCs w:val="18"/>
        </w:rPr>
        <w:t>后</w:t>
      </w:r>
      <w:r>
        <w:rPr>
          <w:sz w:val="18"/>
          <w:szCs w:val="18"/>
        </w:rPr>
        <w:t>的剩余金额</w:t>
      </w:r>
      <w:r>
        <w:rPr>
          <w:rFonts w:hint="eastAsia"/>
          <w:sz w:val="18"/>
          <w:szCs w:val="18"/>
        </w:rPr>
        <w:t>。</w:t>
      </w:r>
    </w:p>
    <w:p>
      <w:pPr>
        <w:adjustRightInd w:val="0"/>
        <w:snapToGrid w:val="0"/>
        <w:spacing w:line="286" w:lineRule="auto"/>
        <w:rPr>
          <w:sz w:val="18"/>
          <w:szCs w:val="18"/>
        </w:rPr>
      </w:pPr>
      <w:r>
        <w:rPr>
          <w:rFonts w:hint="eastAsia"/>
          <w:sz w:val="18"/>
          <w:szCs w:val="18"/>
        </w:rPr>
        <w:t>3</w:t>
      </w:r>
      <w:r>
        <w:rPr>
          <w:sz w:val="18"/>
          <w:szCs w:val="18"/>
        </w:rPr>
        <w:t>.</w:t>
      </w:r>
      <w:r>
        <w:rPr>
          <w:rFonts w:hint="eastAsia"/>
          <w:sz w:val="18"/>
          <w:szCs w:val="18"/>
        </w:rPr>
        <w:t>理财</w:t>
      </w:r>
      <w:r>
        <w:rPr>
          <w:sz w:val="18"/>
          <w:szCs w:val="18"/>
        </w:rPr>
        <w:t>计划项</w:t>
      </w:r>
      <w:r>
        <w:rPr>
          <w:rFonts w:hint="eastAsia"/>
          <w:sz w:val="18"/>
          <w:szCs w:val="18"/>
        </w:rPr>
        <w:t>下</w:t>
      </w:r>
      <w:r>
        <w:rPr>
          <w:sz w:val="18"/>
          <w:szCs w:val="18"/>
        </w:rPr>
        <w:t>财产</w:t>
      </w:r>
      <w:r>
        <w:rPr>
          <w:rFonts w:hint="eastAsia"/>
          <w:sz w:val="18"/>
          <w:szCs w:val="18"/>
        </w:rPr>
        <w:t>正常变现</w:t>
      </w:r>
      <w:r>
        <w:rPr>
          <w:sz w:val="18"/>
          <w:szCs w:val="18"/>
        </w:rPr>
        <w:t>情况下，</w:t>
      </w:r>
      <w:r>
        <w:rPr>
          <w:rFonts w:hint="eastAsia"/>
          <w:sz w:val="18"/>
          <w:szCs w:val="18"/>
        </w:rPr>
        <w:t>理财计划预计到期收益的测算依据和测算方法</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）每份额收益</w:t>
      </w:r>
      <w:r>
        <w:rPr>
          <w:sz w:val="18"/>
          <w:szCs w:val="18"/>
        </w:rPr>
        <w:t xml:space="preserve"> = </w:t>
      </w:r>
      <w:r>
        <w:rPr>
          <w:rFonts w:hint="eastAsia"/>
          <w:sz w:val="18"/>
          <w:szCs w:val="18"/>
        </w:rPr>
        <w:t>理财计划到期日份额净值-认购（申购）确认日前一自然日份额净值</w:t>
      </w:r>
      <w:r>
        <w:rPr>
          <w:sz w:val="18"/>
          <w:szCs w:val="18"/>
        </w:rPr>
        <w:t>-税费（如有）</w:t>
      </w:r>
    </w:p>
    <w:p>
      <w:pPr>
        <w:adjustRightInd w:val="0"/>
        <w:snapToGrid w:val="0"/>
        <w:spacing w:line="286" w:lineRule="auto"/>
        <w:rPr>
          <w:sz w:val="18"/>
          <w:szCs w:val="18"/>
        </w:rPr>
      </w:pPr>
      <w:r>
        <w:rPr>
          <w:rFonts w:hint="eastAsia"/>
          <w:sz w:val="18"/>
          <w:szCs w:val="18"/>
        </w:rPr>
        <w:t>（</w:t>
      </w:r>
      <w:r>
        <w:rPr>
          <w:sz w:val="18"/>
          <w:szCs w:val="18"/>
        </w:rPr>
        <w:t>2</w:t>
      </w:r>
      <w:r>
        <w:rPr>
          <w:rFonts w:hint="eastAsia"/>
          <w:sz w:val="18"/>
          <w:szCs w:val="18"/>
        </w:rPr>
        <w:t>）投资者总收益</w:t>
      </w:r>
      <w:r>
        <w:rPr>
          <w:sz w:val="18"/>
          <w:szCs w:val="18"/>
        </w:rPr>
        <w:t xml:space="preserve"> = </w:t>
      </w:r>
      <w:r>
        <w:rPr>
          <w:rFonts w:hint="eastAsia"/>
          <w:sz w:val="18"/>
          <w:szCs w:val="18"/>
        </w:rPr>
        <w:t>投资者理财计划到期日持有理财计划份额×每份额收益</w:t>
      </w:r>
    </w:p>
    <w:p>
      <w:pPr>
        <w:adjustRightInd w:val="0"/>
        <w:snapToGrid w:val="0"/>
        <w:spacing w:line="286" w:lineRule="auto"/>
        <w:rPr>
          <w:sz w:val="18"/>
          <w:szCs w:val="18"/>
        </w:rPr>
      </w:pPr>
      <w:r>
        <w:rPr>
          <w:rFonts w:hint="eastAsia"/>
          <w:sz w:val="18"/>
          <w:szCs w:val="18"/>
        </w:rPr>
        <w:t>4．理财计划在理财计划到期日到期时，如理财计划项下财产全部变现，温州银行在理财计划到期日后</w:t>
      </w:r>
      <w:r>
        <w:rPr>
          <w:sz w:val="18"/>
          <w:szCs w:val="18"/>
        </w:rPr>
        <w:t>5</w:t>
      </w:r>
      <w:r>
        <w:rPr>
          <w:rFonts w:hint="eastAsia"/>
          <w:sz w:val="18"/>
          <w:szCs w:val="18"/>
        </w:rPr>
        <w:t>个工作日内将投资者应得资金划转至投资者账户。清算期超过5日的，温州银行</w:t>
      </w:r>
      <w:r>
        <w:rPr>
          <w:sz w:val="18"/>
          <w:szCs w:val="18"/>
        </w:rPr>
        <w:t>将提前2个工作日</w:t>
      </w:r>
      <w:r>
        <w:rPr>
          <w:rFonts w:hint="eastAsia"/>
          <w:sz w:val="18"/>
          <w:szCs w:val="18"/>
        </w:rPr>
        <w:t>根据约定方式进行</w:t>
      </w:r>
      <w:r>
        <w:rPr>
          <w:sz w:val="18"/>
          <w:szCs w:val="18"/>
        </w:rPr>
        <w:t>信息披露</w:t>
      </w:r>
      <w:r>
        <w:rPr>
          <w:rFonts w:hint="eastAsia"/>
          <w:sz w:val="18"/>
          <w:szCs w:val="18"/>
        </w:rPr>
        <w:t>。</w:t>
      </w:r>
    </w:p>
    <w:p>
      <w:pPr>
        <w:adjustRightInd w:val="0"/>
        <w:snapToGrid w:val="0"/>
        <w:spacing w:line="286" w:lineRule="auto"/>
        <w:rPr>
          <w:sz w:val="18"/>
          <w:szCs w:val="18"/>
        </w:rPr>
      </w:pPr>
      <w:r>
        <w:rPr>
          <w:rFonts w:hint="eastAsia"/>
          <w:sz w:val="18"/>
          <w:szCs w:val="18"/>
        </w:rPr>
        <w:t>5.理财计划在理财计划到期日到期时，如理财计划项下资产不能全部变现，则温州银行将现金类资产扣除应由理财计划承担的费用、税款（如有）后向投资者分配。对于未变现资产部分，温州银行以投资者利益最大化的原则，寻求未变现资产变现方式，在资产变现后10个</w:t>
      </w:r>
      <w:r>
        <w:rPr>
          <w:sz w:val="18"/>
          <w:szCs w:val="18"/>
        </w:rPr>
        <w:t>工作日内</w:t>
      </w:r>
      <w:r>
        <w:rPr>
          <w:rFonts w:hint="eastAsia"/>
          <w:sz w:val="18"/>
          <w:szCs w:val="18"/>
        </w:rPr>
        <w:t>，扣除应由理财计划承担的费用</w:t>
      </w:r>
      <w:r>
        <w:rPr>
          <w:sz w:val="18"/>
          <w:szCs w:val="18"/>
        </w:rPr>
        <w:t>、</w:t>
      </w:r>
      <w:r>
        <w:rPr>
          <w:rFonts w:hint="eastAsia"/>
          <w:sz w:val="18"/>
          <w:szCs w:val="18"/>
        </w:rPr>
        <w:t>税费后向投资者分配。</w:t>
      </w:r>
    </w:p>
    <w:p>
      <w:pPr>
        <w:adjustRightInd w:val="0"/>
        <w:snapToGrid w:val="0"/>
        <w:spacing w:line="286" w:lineRule="auto"/>
        <w:rPr>
          <w:b/>
          <w:sz w:val="18"/>
          <w:szCs w:val="18"/>
        </w:rPr>
      </w:pPr>
      <w:r>
        <w:rPr>
          <w:rFonts w:hint="eastAsia"/>
          <w:b/>
          <w:sz w:val="18"/>
          <w:szCs w:val="18"/>
        </w:rPr>
        <w:t>税费规定</w:t>
      </w:r>
    </w:p>
    <w:p>
      <w:pPr>
        <w:adjustRightInd w:val="0"/>
        <w:snapToGrid w:val="0"/>
        <w:spacing w:line="281" w:lineRule="auto"/>
        <w:rPr>
          <w:rFonts w:ascii="宋体" w:hAnsi="宋体" w:cs="宋体"/>
          <w:kern w:val="0"/>
          <w:sz w:val="18"/>
          <w:szCs w:val="18"/>
        </w:rPr>
      </w:pPr>
      <w:r>
        <w:rPr>
          <w:rFonts w:hint="eastAsia" w:ascii="宋体" w:hAnsi="宋体" w:cs="宋体"/>
          <w:kern w:val="0"/>
          <w:sz w:val="18"/>
          <w:szCs w:val="18"/>
        </w:rPr>
        <w:t>根据财政部、国家税务总局相关税收监管政策的规定，理财产品运营过程中发生的增值税应税行为，以管理人为增值税纳税人，计算并缴纳增值税及附加税费。温州银行作为理财产品投资管理人,将按照相关规定计算应缴纳的税费，并从理财产品财产中支付。后续国家法律法规如对相关税收政策进行调整，温州银行有权根据税收政策相应调整理财产品运营过程中发生的税费的承担方式。支付给客户的理财收益的应纳税款由客户自行申报及缴纳。</w:t>
      </w:r>
    </w:p>
    <w:p>
      <w:pPr>
        <w:widowControl/>
        <w:adjustRightInd w:val="0"/>
        <w:snapToGrid w:val="0"/>
        <w:spacing w:line="286" w:lineRule="auto"/>
        <w:outlineLvl w:val="0"/>
        <w:rPr>
          <w:b/>
          <w:sz w:val="18"/>
          <w:szCs w:val="18"/>
        </w:rPr>
      </w:pPr>
      <w:r>
        <w:rPr>
          <w:rFonts w:hint="eastAsia"/>
          <w:b/>
          <w:sz w:val="18"/>
          <w:szCs w:val="18"/>
        </w:rPr>
        <w:t>风险提示</w:t>
      </w:r>
    </w:p>
    <w:p>
      <w:pPr>
        <w:adjustRightInd w:val="0"/>
        <w:snapToGrid w:val="0"/>
        <w:spacing w:line="286" w:lineRule="auto"/>
        <w:rPr>
          <w:sz w:val="18"/>
          <w:szCs w:val="18"/>
        </w:rPr>
      </w:pPr>
      <w:r>
        <w:rPr>
          <w:rFonts w:hint="eastAsia"/>
          <w:b/>
          <w:sz w:val="18"/>
          <w:szCs w:val="18"/>
        </w:rPr>
        <w:t>本理财计划是非保本型投资产品，您的本金可能会因市场变动而蒙受重大损失，您应充分认识以下投资风险，谨慎投资：</w:t>
      </w:r>
    </w:p>
    <w:p>
      <w:pPr>
        <w:adjustRightInd w:val="0"/>
        <w:snapToGrid w:val="0"/>
        <w:spacing w:line="286" w:lineRule="auto"/>
        <w:rPr>
          <w:sz w:val="18"/>
          <w:szCs w:val="18"/>
        </w:rPr>
      </w:pPr>
      <w:r>
        <w:rPr>
          <w:sz w:val="18"/>
          <w:szCs w:val="18"/>
        </w:rPr>
        <w:t>1</w:t>
      </w:r>
      <w:r>
        <w:rPr>
          <w:rFonts w:hint="eastAsia"/>
          <w:sz w:val="18"/>
          <w:szCs w:val="18"/>
        </w:rPr>
        <w:t>、理财本金及收益风险：本理财计划为非保本净值型理财计划，不保证本金及收益。理财计划本金及收益返还来源于所投资资产组合到期收回的本金及投资收益，如所投资产组合未能达到事先测算的收益水平，使得本产品未能按时足额收回投资本金及收益，本产品的收益率可能低于业绩比较基准，收益可能为</w:t>
      </w:r>
      <w:r>
        <w:rPr>
          <w:sz w:val="18"/>
          <w:szCs w:val="18"/>
        </w:rPr>
        <w:t>0</w:t>
      </w:r>
      <w:r>
        <w:rPr>
          <w:rFonts w:hint="eastAsia"/>
          <w:sz w:val="18"/>
          <w:szCs w:val="18"/>
        </w:rPr>
        <w:t>，甚至发生本金损失。则由此产生的理财本金及收益损失的风险由投资者自行承担。</w:t>
      </w:r>
    </w:p>
    <w:p>
      <w:pPr>
        <w:adjustRightInd w:val="0"/>
        <w:snapToGrid w:val="0"/>
        <w:spacing w:line="286" w:lineRule="auto"/>
        <w:rPr>
          <w:sz w:val="18"/>
          <w:szCs w:val="18"/>
        </w:rPr>
      </w:pPr>
      <w:r>
        <w:rPr>
          <w:sz w:val="18"/>
          <w:szCs w:val="18"/>
        </w:rPr>
        <w:t>2</w:t>
      </w:r>
      <w:r>
        <w:rPr>
          <w:rFonts w:hint="eastAsia"/>
          <w:sz w:val="18"/>
          <w:szCs w:val="18"/>
        </w:rPr>
        <w:t>、管理风险：</w:t>
      </w:r>
      <w:r>
        <w:rPr>
          <w:sz w:val="18"/>
          <w:szCs w:val="18"/>
        </w:rPr>
        <w:t>在管理运作过程中，可能因</w:t>
      </w:r>
      <w:r>
        <w:rPr>
          <w:rFonts w:hint="eastAsia"/>
          <w:sz w:val="18"/>
          <w:szCs w:val="18"/>
        </w:rPr>
        <w:t>管理人（包括本理财产品的投资管理人、所投资的资产的管理人、相关投资顾问等）</w:t>
      </w:r>
      <w:r>
        <w:rPr>
          <w:sz w:val="18"/>
          <w:szCs w:val="18"/>
        </w:rPr>
        <w:t>对经济形势和证券市场等判断有误、获取的信息不全等影响</w:t>
      </w:r>
      <w:r>
        <w:rPr>
          <w:rFonts w:hint="eastAsia"/>
          <w:sz w:val="18"/>
          <w:szCs w:val="18"/>
        </w:rPr>
        <w:t>理财</w:t>
      </w:r>
      <w:r>
        <w:rPr>
          <w:sz w:val="18"/>
          <w:szCs w:val="18"/>
        </w:rPr>
        <w:t>的收益水平。</w:t>
      </w:r>
      <w:r>
        <w:rPr>
          <w:rFonts w:hint="eastAsia"/>
          <w:sz w:val="18"/>
          <w:szCs w:val="18"/>
        </w:rPr>
        <w:t>投资管理人的</w:t>
      </w:r>
      <w:r>
        <w:rPr>
          <w:sz w:val="18"/>
          <w:szCs w:val="18"/>
        </w:rPr>
        <w:t>管理水平、管理手段和管理技术等对</w:t>
      </w:r>
      <w:r>
        <w:rPr>
          <w:rFonts w:hint="eastAsia"/>
          <w:sz w:val="18"/>
          <w:szCs w:val="18"/>
        </w:rPr>
        <w:t>理财计划的</w:t>
      </w:r>
      <w:r>
        <w:rPr>
          <w:sz w:val="18"/>
          <w:szCs w:val="18"/>
        </w:rPr>
        <w:t>收益水平存在影响。</w:t>
      </w:r>
    </w:p>
    <w:p>
      <w:pPr>
        <w:adjustRightInd w:val="0"/>
        <w:snapToGrid w:val="0"/>
        <w:spacing w:line="286" w:lineRule="auto"/>
        <w:rPr>
          <w:sz w:val="18"/>
          <w:szCs w:val="18"/>
        </w:rPr>
      </w:pPr>
      <w:r>
        <w:rPr>
          <w:sz w:val="18"/>
          <w:szCs w:val="18"/>
        </w:rPr>
        <w:t>3</w:t>
      </w:r>
      <w:r>
        <w:rPr>
          <w:rFonts w:hint="eastAsia"/>
          <w:sz w:val="18"/>
          <w:szCs w:val="18"/>
        </w:rPr>
        <w:t>、政策风险：本理财计划是针对当前的相关法规和政策设计的。如国家宏观政策以及市场相关法规政策发生变化，可能影响理财计划的受理、投资、兑付等的正常进行，甚至导致本理财计划收益降低甚至本金损失。</w:t>
      </w:r>
    </w:p>
    <w:p>
      <w:pPr>
        <w:adjustRightInd w:val="0"/>
        <w:snapToGrid w:val="0"/>
        <w:spacing w:line="286" w:lineRule="auto"/>
        <w:rPr>
          <w:sz w:val="18"/>
          <w:szCs w:val="18"/>
        </w:rPr>
      </w:pPr>
      <w:r>
        <w:rPr>
          <w:sz w:val="18"/>
          <w:szCs w:val="18"/>
        </w:rPr>
        <w:t>4</w:t>
      </w:r>
      <w:r>
        <w:rPr>
          <w:rFonts w:hint="eastAsia"/>
          <w:sz w:val="18"/>
          <w:szCs w:val="18"/>
        </w:rPr>
        <w:t>、流动性风险：在特定市场环境下，理财产品所投资的部分市场或资产可能出现流动性较差的情况，导致理财产品存在无法通过变现资产等途径以合理成本及时获得充足资金，用于满足投资者赎回需求、履行其他支付义务的风险。对于有明确投资期限的理财产品，在存续期内如果投资者产生流动性需求，可能面临理财产品投资期限与资金需求日不匹配的流动性风险。此外，针对开放式产品，投资者只能在开放期的交易时间内进行申购、赎回，</w:t>
      </w:r>
      <w:r>
        <w:rPr>
          <w:rFonts w:hint="eastAsia"/>
          <w:b/>
          <w:bCs/>
          <w:sz w:val="18"/>
          <w:szCs w:val="18"/>
          <w:u w:val="single"/>
        </w:rPr>
        <w:t>非开放期不得提前赎回</w:t>
      </w:r>
      <w:r>
        <w:rPr>
          <w:rFonts w:hint="eastAsia"/>
          <w:sz w:val="18"/>
          <w:szCs w:val="18"/>
        </w:rPr>
        <w:t>。在理财计划存续期内的每个赎回日，若该赎回日内净赎回份额合计超过理财产品总份额的20%，则发生巨额赎回事件，温州银行有权拒绝接受超过20%以上部分的赎回申请。此外，温州银行可以依照法律法规及产品说明书的约定，综合运用各项理财产品流动性风险应对措施。由此，可能导致无法满足投资者对产品的部分或全部认（申）购或赎回需求，进而影响投资者的资金流动性安排。</w:t>
      </w:r>
    </w:p>
    <w:p>
      <w:pPr>
        <w:adjustRightInd w:val="0"/>
        <w:snapToGrid w:val="0"/>
        <w:spacing w:line="286" w:lineRule="auto"/>
        <w:rPr>
          <w:rFonts w:ascii="宋体" w:hAnsi="宋体"/>
          <w:sz w:val="18"/>
          <w:szCs w:val="18"/>
        </w:rPr>
      </w:pPr>
      <w:r>
        <w:rPr>
          <w:sz w:val="18"/>
          <w:szCs w:val="18"/>
        </w:rPr>
        <w:t>5</w:t>
      </w:r>
      <w:r>
        <w:rPr>
          <w:rFonts w:hint="eastAsia"/>
          <w:sz w:val="18"/>
          <w:szCs w:val="18"/>
        </w:rPr>
        <w:t>、市场风险：</w:t>
      </w:r>
      <w:r>
        <w:rPr>
          <w:rFonts w:ascii="宋体" w:hAnsi="宋体"/>
          <w:sz w:val="18"/>
          <w:szCs w:val="18"/>
        </w:rPr>
        <w:t>指由于债券市场</w:t>
      </w:r>
      <w:r>
        <w:rPr>
          <w:rFonts w:hint="eastAsia" w:ascii="宋体" w:hAnsi="宋体"/>
          <w:sz w:val="18"/>
          <w:szCs w:val="18"/>
        </w:rPr>
        <w:t>或资本市场</w:t>
      </w:r>
      <w:r>
        <w:rPr>
          <w:rFonts w:ascii="宋体" w:hAnsi="宋体"/>
          <w:sz w:val="18"/>
          <w:szCs w:val="18"/>
        </w:rPr>
        <w:t>变化或波动所引起的资产损失的可能性。宏观经济运行的周期性，财政政策、货币政策等国家政策的变动，以及政府对证券市场的监管政策的变化等因素都会对债券市场</w:t>
      </w:r>
      <w:r>
        <w:rPr>
          <w:rFonts w:hint="eastAsia" w:ascii="宋体" w:hAnsi="宋体"/>
          <w:sz w:val="18"/>
          <w:szCs w:val="18"/>
        </w:rPr>
        <w:t>或证券市场</w:t>
      </w:r>
      <w:r>
        <w:rPr>
          <w:rFonts w:ascii="宋体" w:hAnsi="宋体"/>
          <w:sz w:val="18"/>
          <w:szCs w:val="18"/>
        </w:rPr>
        <w:t>造成不同程度的影响，从而产生市场风险。</w:t>
      </w:r>
      <w:r>
        <w:rPr>
          <w:rFonts w:hint="eastAsia" w:ascii="宋体" w:hAnsi="宋体"/>
          <w:sz w:val="18"/>
          <w:szCs w:val="18"/>
        </w:rPr>
        <w:t>市场风险包括但不限于投资债券面临的利率变化及债券价格波动带来的风险，投资股票面临的股票价格波动带来的风险，投资商品及金融衍生品面临的商品及衍生品价格波动带来的风险等。</w:t>
      </w:r>
    </w:p>
    <w:p>
      <w:pPr>
        <w:adjustRightInd w:val="0"/>
        <w:snapToGrid w:val="0"/>
        <w:spacing w:line="286" w:lineRule="auto"/>
        <w:rPr>
          <w:sz w:val="18"/>
          <w:szCs w:val="18"/>
        </w:rPr>
      </w:pPr>
      <w:r>
        <w:rPr>
          <w:rFonts w:hint="eastAsia" w:ascii="宋体" w:hAnsi="宋体"/>
          <w:sz w:val="18"/>
          <w:szCs w:val="18"/>
        </w:rPr>
        <w:t>6延期风险：如因理财计划所投资的标的资产因信用风险、市场风险等原因造成理财计划不能按时兑付，理财期限将相应延长。</w:t>
      </w:r>
    </w:p>
    <w:p>
      <w:pPr>
        <w:adjustRightInd w:val="0"/>
        <w:snapToGrid w:val="0"/>
        <w:spacing w:line="286" w:lineRule="auto"/>
        <w:rPr>
          <w:sz w:val="18"/>
          <w:szCs w:val="18"/>
        </w:rPr>
      </w:pPr>
      <w:r>
        <w:rPr>
          <w:rFonts w:hint="eastAsia"/>
          <w:sz w:val="18"/>
          <w:szCs w:val="18"/>
        </w:rPr>
        <w:t>7、早偿风险：如温州银行在特定情况下提前终止理财，则投资者可能将无法实现期初预期的全部收益。</w:t>
      </w:r>
    </w:p>
    <w:p>
      <w:pPr>
        <w:adjustRightInd w:val="0"/>
        <w:snapToGrid w:val="0"/>
        <w:spacing w:line="286" w:lineRule="auto"/>
        <w:rPr>
          <w:sz w:val="18"/>
          <w:szCs w:val="18"/>
        </w:rPr>
      </w:pPr>
      <w:r>
        <w:rPr>
          <w:rFonts w:hint="eastAsia" w:ascii="宋体" w:hAnsi="宋体"/>
          <w:sz w:val="18"/>
          <w:szCs w:val="18"/>
        </w:rPr>
        <w:t>8、</w:t>
      </w:r>
      <w:r>
        <w:rPr>
          <w:rFonts w:ascii="宋体" w:hAnsi="宋体"/>
          <w:sz w:val="18"/>
          <w:szCs w:val="18"/>
        </w:rPr>
        <w:t>信用风险</w:t>
      </w:r>
      <w:r>
        <w:rPr>
          <w:rFonts w:hint="eastAsia" w:ascii="宋体" w:hAnsi="宋体"/>
          <w:sz w:val="18"/>
          <w:szCs w:val="18"/>
        </w:rPr>
        <w:t>：</w:t>
      </w:r>
      <w:r>
        <w:rPr>
          <w:rFonts w:hint="eastAsia"/>
          <w:sz w:val="18"/>
          <w:szCs w:val="18"/>
        </w:rPr>
        <w:t>可能因交易对手违约或者其他原因导致到期投资品种不能得到及时足额清偿，进而造成理财财产损失。</w:t>
      </w:r>
    </w:p>
    <w:p>
      <w:pPr>
        <w:pStyle w:val="12"/>
        <w:adjustRightInd w:val="0"/>
        <w:snapToGrid w:val="0"/>
        <w:spacing w:line="286" w:lineRule="auto"/>
        <w:ind w:firstLine="0"/>
        <w:rPr>
          <w:rFonts w:ascii="宋体" w:hAnsi="宋体"/>
          <w:sz w:val="18"/>
          <w:szCs w:val="18"/>
        </w:rPr>
      </w:pPr>
      <w:r>
        <w:rPr>
          <w:rFonts w:hint="eastAsia" w:ascii="宋体" w:hAnsi="宋体"/>
          <w:sz w:val="18"/>
          <w:szCs w:val="18"/>
        </w:rPr>
        <w:t>9、利率风险：本理财产品在实际投资运作过程中，由于利率市场出现巨大变化造成本理财产品所投资产价格发生波动，从而影响理财产品投资收益的，投资者的本金和收益可能遭受部分或全部损失。</w:t>
      </w:r>
    </w:p>
    <w:p>
      <w:pPr>
        <w:pStyle w:val="12"/>
        <w:adjustRightInd w:val="0"/>
        <w:snapToGrid w:val="0"/>
        <w:spacing w:line="286" w:lineRule="auto"/>
        <w:ind w:firstLine="0"/>
        <w:rPr>
          <w:sz w:val="18"/>
          <w:szCs w:val="18"/>
        </w:rPr>
      </w:pPr>
      <w:r>
        <w:rPr>
          <w:rFonts w:hint="eastAsia" w:ascii="宋体" w:hAnsi="宋体"/>
          <w:sz w:val="18"/>
          <w:szCs w:val="18"/>
        </w:rPr>
        <w:t>10、</w:t>
      </w:r>
      <w:r>
        <w:rPr>
          <w:rFonts w:hint="eastAsia"/>
          <w:sz w:val="18"/>
          <w:szCs w:val="18"/>
        </w:rPr>
        <w:t>理财产品不成立风险：如本理财产品募集期届满，募集总金额未达到规模下限（如有约定）或市场发生剧烈波动，经温州银行合理判断难以按照本产品说明书规定向投资者提供本理财产品，温州银行有权宣布本理财产品不成立。</w:t>
      </w:r>
    </w:p>
    <w:p>
      <w:pPr>
        <w:adjustRightInd w:val="0"/>
        <w:snapToGrid w:val="0"/>
        <w:spacing w:line="286" w:lineRule="auto"/>
        <w:rPr>
          <w:sz w:val="18"/>
          <w:szCs w:val="18"/>
        </w:rPr>
      </w:pPr>
      <w:r>
        <w:rPr>
          <w:rFonts w:hint="eastAsia"/>
          <w:sz w:val="18"/>
          <w:szCs w:val="18"/>
        </w:rPr>
        <w:t>11、信息传递风险：温州银行按照本说明书有关“信息公告”条款的约定，发布理财计划的清算信息公告。投资者应根据“信息公告”条款的约定及时登录温州银行网站或致电银行客户服务热线或到银行营业网点查询。如果投资者未及时查询，或由于通讯故障、系统故障以及其他不可抗力等因素的影响使得投资者无法及时了解产品信息，并由此影响投资者的投资决策，因此而产生的责任和风险（包括错过资金使用和再投资的机会等）由投资者自行承担；另外，投资者预留在温州银行的有效联系方式变更的，应及时通知银行。如投资者未及时告知温州银行联系方式变更的，银行将可能在需要联系投资者时无法及时联系上，并可能会由此影响投资者的投资决策，由此而产生的责任和风险由投资者自行承担。</w:t>
      </w:r>
      <w:r>
        <w:rPr>
          <w:sz w:val="18"/>
          <w:szCs w:val="18"/>
        </w:rPr>
        <w:t xml:space="preserve"> </w:t>
      </w:r>
    </w:p>
    <w:p>
      <w:pPr>
        <w:adjustRightInd w:val="0"/>
        <w:snapToGrid w:val="0"/>
        <w:spacing w:line="286" w:lineRule="auto"/>
        <w:rPr>
          <w:sz w:val="18"/>
          <w:szCs w:val="18"/>
        </w:rPr>
      </w:pPr>
      <w:r>
        <w:rPr>
          <w:rFonts w:hint="eastAsia"/>
          <w:sz w:val="18"/>
          <w:szCs w:val="18"/>
        </w:rPr>
        <w:t>12、其他风险：指由于自然灾害、战争等不可抗力因素的出现，或IT系统故障、通讯系统故障、电力系统故障、投资市场停止交易等原因，可能导致理财资产收益降低或损失，甚至影响理财计划的受理、投资、兑付等的正常进行。</w:t>
      </w:r>
    </w:p>
    <w:p>
      <w:pPr>
        <w:adjustRightInd w:val="0"/>
        <w:snapToGrid w:val="0"/>
        <w:spacing w:line="286" w:lineRule="auto"/>
        <w:rPr>
          <w:sz w:val="18"/>
          <w:szCs w:val="18"/>
        </w:rPr>
      </w:pPr>
      <w:r>
        <w:rPr>
          <w:rFonts w:hint="eastAsia" w:ascii="宋体" w:hAnsi="宋体"/>
          <w:b/>
          <w:sz w:val="18"/>
          <w:szCs w:val="18"/>
        </w:rPr>
        <w:t>风险监测和控制措施：</w:t>
      </w:r>
    </w:p>
    <w:p>
      <w:pPr>
        <w:adjustRightInd w:val="0"/>
        <w:snapToGrid w:val="0"/>
        <w:spacing w:line="286" w:lineRule="auto"/>
        <w:rPr>
          <w:rFonts w:ascii="宋体" w:hAnsi="宋体"/>
          <w:sz w:val="18"/>
          <w:szCs w:val="18"/>
        </w:rPr>
      </w:pPr>
      <w:r>
        <w:rPr>
          <w:rFonts w:ascii="宋体" w:hAnsi="宋体"/>
          <w:sz w:val="18"/>
          <w:szCs w:val="18"/>
        </w:rPr>
        <w:t>针对</w:t>
      </w:r>
      <w:r>
        <w:rPr>
          <w:rFonts w:hint="eastAsia" w:ascii="宋体" w:hAnsi="宋体"/>
          <w:sz w:val="18"/>
          <w:szCs w:val="18"/>
        </w:rPr>
        <w:t>上述</w:t>
      </w:r>
      <w:r>
        <w:rPr>
          <w:rFonts w:ascii="宋体" w:hAnsi="宋体"/>
          <w:sz w:val="18"/>
          <w:szCs w:val="18"/>
        </w:rPr>
        <w:t>提及的风险，</w:t>
      </w:r>
      <w:r>
        <w:rPr>
          <w:rFonts w:hint="eastAsia" w:ascii="宋体" w:hAnsi="宋体"/>
          <w:sz w:val="18"/>
          <w:szCs w:val="18"/>
        </w:rPr>
        <w:t>温州银行</w:t>
      </w:r>
      <w:r>
        <w:rPr>
          <w:rFonts w:ascii="宋体" w:hAnsi="宋体"/>
          <w:sz w:val="18"/>
          <w:szCs w:val="18"/>
        </w:rPr>
        <w:t>将采取以下措施防范和控制风险，但并不保证以下措施可以覆盖和排除在管理本</w:t>
      </w:r>
      <w:r>
        <w:rPr>
          <w:rFonts w:hint="eastAsia" w:ascii="宋体" w:hAnsi="宋体"/>
          <w:sz w:val="18"/>
          <w:szCs w:val="18"/>
        </w:rPr>
        <w:t>产品</w:t>
      </w:r>
      <w:r>
        <w:rPr>
          <w:rFonts w:ascii="宋体" w:hAnsi="宋体"/>
          <w:sz w:val="18"/>
          <w:szCs w:val="18"/>
        </w:rPr>
        <w:t>过程中所可能涉及的全部风险</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1、市场风险的管控措施：温州银行将密切注意国家政策变化、经济周期、利率变化、通货膨胀等对相关投资品种的影响，及时合理配置资产，以降低市场风险可能使理财财产遭受的损失</w:t>
      </w:r>
      <w:r>
        <w:rPr>
          <w:rFonts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2、管理风险的管控措施：温州银行</w:t>
      </w:r>
      <w:r>
        <w:rPr>
          <w:rFonts w:ascii="宋体" w:hAnsi="宋体"/>
          <w:sz w:val="18"/>
          <w:szCs w:val="18"/>
        </w:rPr>
        <w:t>将加强内部管理，恪尽职守，</w:t>
      </w:r>
      <w:r>
        <w:rPr>
          <w:rFonts w:hint="eastAsia" w:ascii="宋体" w:hAnsi="宋体"/>
          <w:sz w:val="18"/>
          <w:szCs w:val="18"/>
        </w:rPr>
        <w:t>督促合作机构</w:t>
      </w:r>
      <w:r>
        <w:rPr>
          <w:rFonts w:ascii="宋体" w:hAnsi="宋体"/>
          <w:sz w:val="18"/>
          <w:szCs w:val="18"/>
        </w:rPr>
        <w:t>加强对信息的采集和科学的分析，力争降低因</w:t>
      </w:r>
      <w:r>
        <w:rPr>
          <w:rFonts w:hint="eastAsia" w:ascii="宋体" w:hAnsi="宋体"/>
          <w:sz w:val="18"/>
          <w:szCs w:val="18"/>
        </w:rPr>
        <w:t>其</w:t>
      </w:r>
      <w:r>
        <w:rPr>
          <w:rFonts w:ascii="宋体" w:hAnsi="宋体"/>
          <w:sz w:val="18"/>
          <w:szCs w:val="18"/>
        </w:rPr>
        <w:t>管理不当而对</w:t>
      </w:r>
      <w:r>
        <w:rPr>
          <w:rFonts w:hint="eastAsia" w:ascii="宋体" w:hAnsi="宋体"/>
          <w:sz w:val="18"/>
          <w:szCs w:val="18"/>
        </w:rPr>
        <w:t>理财</w:t>
      </w:r>
      <w:r>
        <w:rPr>
          <w:rFonts w:ascii="宋体" w:hAnsi="宋体"/>
          <w:sz w:val="18"/>
          <w:szCs w:val="18"/>
        </w:rPr>
        <w:t>财产</w:t>
      </w:r>
      <w:r>
        <w:rPr>
          <w:rFonts w:hint="eastAsia" w:ascii="宋体" w:hAnsi="宋体"/>
          <w:sz w:val="18"/>
          <w:szCs w:val="18"/>
        </w:rPr>
        <w:t>造成的</w:t>
      </w:r>
      <w:r>
        <w:rPr>
          <w:rFonts w:ascii="宋体" w:hAnsi="宋体"/>
          <w:sz w:val="18"/>
          <w:szCs w:val="18"/>
        </w:rPr>
        <w:t>损失</w:t>
      </w:r>
      <w:r>
        <w:rPr>
          <w:rFonts w:hint="eastAsia" w:ascii="宋体" w:hAnsi="宋体"/>
          <w:sz w:val="18"/>
          <w:szCs w:val="18"/>
        </w:rPr>
        <w:t>。</w:t>
      </w:r>
    </w:p>
    <w:p>
      <w:pPr>
        <w:adjustRightInd w:val="0"/>
        <w:snapToGrid w:val="0"/>
        <w:spacing w:line="286" w:lineRule="auto"/>
        <w:rPr>
          <w:rFonts w:ascii="宋体" w:hAnsi="宋体"/>
          <w:sz w:val="18"/>
          <w:szCs w:val="18"/>
        </w:rPr>
      </w:pPr>
      <w:r>
        <w:rPr>
          <w:rFonts w:hint="eastAsia" w:ascii="宋体" w:hAnsi="宋体"/>
          <w:sz w:val="18"/>
          <w:szCs w:val="18"/>
        </w:rPr>
        <w:t>3、法律风险的管控措施：温州银行将严格按照法律法规的要求履行自己的责任和义务。</w:t>
      </w:r>
    </w:p>
    <w:p>
      <w:pPr>
        <w:adjustRightInd w:val="0"/>
        <w:snapToGrid w:val="0"/>
        <w:spacing w:line="286" w:lineRule="auto"/>
        <w:rPr>
          <w:rFonts w:ascii="宋体" w:hAnsi="宋体"/>
          <w:sz w:val="18"/>
          <w:szCs w:val="18"/>
        </w:rPr>
      </w:pPr>
      <w:r>
        <w:rPr>
          <w:rFonts w:hint="eastAsia" w:ascii="宋体" w:hAnsi="宋体"/>
          <w:sz w:val="18"/>
          <w:szCs w:val="18"/>
        </w:rPr>
        <w:t>4、政策风险、</w:t>
      </w:r>
      <w:r>
        <w:rPr>
          <w:rFonts w:hint="eastAsia"/>
          <w:sz w:val="18"/>
          <w:szCs w:val="18"/>
        </w:rPr>
        <w:t>早偿风险、理财产品不成立风险和</w:t>
      </w:r>
      <w:r>
        <w:rPr>
          <w:rFonts w:ascii="宋体" w:hAnsi="宋体"/>
          <w:sz w:val="18"/>
          <w:szCs w:val="18"/>
        </w:rPr>
        <w:t>其他风险</w:t>
      </w:r>
      <w:r>
        <w:rPr>
          <w:rFonts w:hint="eastAsia" w:ascii="宋体" w:hAnsi="宋体"/>
          <w:sz w:val="18"/>
          <w:szCs w:val="18"/>
        </w:rPr>
        <w:t>的管控措施：温州银行</w:t>
      </w:r>
      <w:r>
        <w:rPr>
          <w:rFonts w:ascii="宋体" w:hAnsi="宋体"/>
          <w:sz w:val="18"/>
          <w:szCs w:val="18"/>
        </w:rPr>
        <w:t>将坚持</w:t>
      </w:r>
      <w:r>
        <w:rPr>
          <w:rFonts w:hint="eastAsia" w:ascii="宋体" w:hAnsi="宋体"/>
          <w:sz w:val="18"/>
          <w:szCs w:val="18"/>
        </w:rPr>
        <w:t>理财财产利益</w:t>
      </w:r>
      <w:r>
        <w:rPr>
          <w:rFonts w:ascii="宋体" w:hAnsi="宋体"/>
          <w:sz w:val="18"/>
          <w:szCs w:val="18"/>
        </w:rPr>
        <w:t>最大化的原则，严格履行自己应尽的义务，不断分析潜在的风险，努力防范和化解可能出现的风险，维护</w:t>
      </w:r>
      <w:r>
        <w:rPr>
          <w:rFonts w:hint="eastAsia" w:ascii="宋体" w:hAnsi="宋体"/>
          <w:sz w:val="18"/>
          <w:szCs w:val="18"/>
        </w:rPr>
        <w:t>理财财产的</w:t>
      </w:r>
      <w:r>
        <w:rPr>
          <w:rFonts w:ascii="宋体" w:hAnsi="宋体"/>
          <w:sz w:val="18"/>
          <w:szCs w:val="18"/>
        </w:rPr>
        <w:t>利益。</w:t>
      </w:r>
    </w:p>
    <w:p>
      <w:pPr>
        <w:adjustRightInd w:val="0"/>
        <w:snapToGrid w:val="0"/>
        <w:spacing w:line="286" w:lineRule="auto"/>
        <w:rPr>
          <w:b/>
          <w:sz w:val="18"/>
          <w:szCs w:val="18"/>
        </w:rPr>
      </w:pPr>
      <w:r>
        <w:rPr>
          <w:rFonts w:hint="eastAsia"/>
          <w:b/>
          <w:sz w:val="18"/>
          <w:szCs w:val="18"/>
        </w:rPr>
        <w:t>信息公告</w:t>
      </w:r>
    </w:p>
    <w:p>
      <w:pPr>
        <w:adjustRightInd w:val="0"/>
        <w:snapToGrid w:val="0"/>
        <w:spacing w:line="286" w:lineRule="auto"/>
        <w:rPr>
          <w:sz w:val="18"/>
          <w:szCs w:val="18"/>
        </w:rPr>
      </w:pPr>
      <w:r>
        <w:rPr>
          <w:rFonts w:hint="eastAsia"/>
          <w:sz w:val="18"/>
          <w:szCs w:val="18"/>
        </w:rPr>
        <w:t>1、发行公告：温州银行将在本产品成立之日后5个工作日内披露发行公告，包括理财产品成立日期和募集规模等信息。</w:t>
      </w:r>
    </w:p>
    <w:p>
      <w:pPr>
        <w:adjustRightInd w:val="0"/>
        <w:snapToGrid w:val="0"/>
        <w:spacing w:line="286" w:lineRule="auto"/>
        <w:rPr>
          <w:sz w:val="18"/>
          <w:szCs w:val="18"/>
        </w:rPr>
      </w:pPr>
      <w:r>
        <w:rPr>
          <w:rFonts w:hint="eastAsia"/>
          <w:sz w:val="18"/>
          <w:szCs w:val="18"/>
        </w:rPr>
        <w:t>2、定期公告：</w:t>
      </w:r>
    </w:p>
    <w:p>
      <w:pPr>
        <w:adjustRightInd w:val="0"/>
        <w:snapToGrid w:val="0"/>
        <w:spacing w:line="286" w:lineRule="auto"/>
        <w:rPr>
          <w:sz w:val="18"/>
          <w:szCs w:val="18"/>
        </w:rPr>
      </w:pPr>
      <w:r>
        <w:rPr>
          <w:rFonts w:hint="eastAsia"/>
          <w:sz w:val="18"/>
          <w:szCs w:val="18"/>
        </w:rPr>
        <w:t>温州银行将在每个季度结束之日起15个工作日内、上半年结束之日起60个工作日内、每半年结束之日起90个工作日内，编制完成理财产品的季度、半年度和年度报告等定期报告。理财产品成立不足90个工作日或者剩余存续期不超过90个工作日的，可以不编制理财产品当期的季度、半年度和年度报告。温州银行将在每个开放周期结束后2日内，披露开放式公募理财产品在开放周期清算日的份额净值、份额累计净值、认购（申购）价格和赎回价格。</w:t>
      </w:r>
    </w:p>
    <w:p>
      <w:pPr>
        <w:adjustRightInd w:val="0"/>
        <w:snapToGrid w:val="0"/>
        <w:spacing w:line="286" w:lineRule="auto"/>
        <w:rPr>
          <w:sz w:val="18"/>
          <w:szCs w:val="18"/>
        </w:rPr>
      </w:pPr>
      <w:r>
        <w:rPr>
          <w:rFonts w:hint="eastAsia"/>
          <w:sz w:val="18"/>
          <w:szCs w:val="18"/>
        </w:rPr>
        <w:t>3、临时性公告</w:t>
      </w:r>
    </w:p>
    <w:p>
      <w:pPr>
        <w:adjustRightInd w:val="0"/>
        <w:snapToGrid w:val="0"/>
        <w:spacing w:line="286" w:lineRule="auto"/>
        <w:rPr>
          <w:sz w:val="18"/>
          <w:szCs w:val="18"/>
        </w:rPr>
      </w:pPr>
      <w:r>
        <w:rPr>
          <w:rFonts w:hint="eastAsia"/>
          <w:sz w:val="18"/>
          <w:szCs w:val="18"/>
        </w:rPr>
        <w:t>（1）在本理财产品存续期间，温州银行可以提前2个工作日发布相关信息，对投资范围、投资品种、投资比例、相关费用、业绩比较基准或产品说明书其他条款进行补充、说明和修改。投资者如不同意补充或修改后的说明书，可在温州银行公告的补充或修改后的相关业务调整生效前赎回本理财计划（此种情况下，温州银行将可能开放特殊赎回期间，具体以届时温州银行的公告为准），投资者本金和收益（如有）将在赎回日后10个工作日内划转至投资者账户。逾期未赎回的，视为同意。</w:t>
      </w:r>
    </w:p>
    <w:p>
      <w:pPr>
        <w:adjustRightInd w:val="0"/>
        <w:snapToGrid w:val="0"/>
        <w:spacing w:line="286" w:lineRule="auto"/>
        <w:rPr>
          <w:b/>
          <w:sz w:val="18"/>
          <w:szCs w:val="18"/>
        </w:rPr>
      </w:pPr>
      <w:r>
        <w:rPr>
          <w:rFonts w:hint="eastAsia"/>
          <w:b/>
          <w:sz w:val="18"/>
          <w:szCs w:val="18"/>
        </w:rPr>
        <w:t>（2）在本理财产品存续期内，如出于维持本理财产品正常运营的需要且在不损害投资者利益的前提下，或因国家法律法规、监管规定发生变化，温州银行有权单方对本理财计划产品说明书进行修订。温州银行决定对产品说明书进行修订的，将提前2个工作日发布相关信息公告通知投资者。修订后的产品说明书对投资者具有法律约束力。</w:t>
      </w:r>
    </w:p>
    <w:p>
      <w:pPr>
        <w:adjustRightInd w:val="0"/>
        <w:snapToGrid w:val="0"/>
        <w:spacing w:line="286" w:lineRule="auto"/>
        <w:rPr>
          <w:b/>
          <w:sz w:val="18"/>
          <w:szCs w:val="18"/>
        </w:rPr>
      </w:pPr>
      <w:r>
        <w:rPr>
          <w:rFonts w:hint="eastAsia"/>
          <w:b/>
          <w:sz w:val="18"/>
          <w:szCs w:val="18"/>
        </w:rPr>
        <w:t>（3）管理人将在运用暂停认购、暂停理财产品估值等措施后，3个交易日内发布相关事项公告，说明运用相关措施的原因、拟采取的应对安排等。</w:t>
      </w:r>
    </w:p>
    <w:p>
      <w:pPr>
        <w:adjustRightInd w:val="0"/>
        <w:snapToGrid w:val="0"/>
        <w:spacing w:line="286" w:lineRule="auto"/>
        <w:rPr>
          <w:b/>
          <w:sz w:val="18"/>
          <w:szCs w:val="18"/>
        </w:rPr>
      </w:pPr>
      <w:r>
        <w:rPr>
          <w:rFonts w:hint="eastAsia"/>
          <w:b/>
          <w:sz w:val="18"/>
          <w:szCs w:val="18"/>
        </w:rPr>
        <w:t>4、重大事项公告：如发生温州银行认为可能对理财产品投资者或者理财产品收益产生重大影响的事项时，温州银行将在2个工作日内向投资者披露相关信息。</w:t>
      </w:r>
    </w:p>
    <w:p>
      <w:pPr>
        <w:adjustRightInd w:val="0"/>
        <w:snapToGrid w:val="0"/>
        <w:spacing w:line="286" w:lineRule="auto"/>
        <w:rPr>
          <w:sz w:val="18"/>
          <w:szCs w:val="18"/>
        </w:rPr>
      </w:pPr>
      <w:r>
        <w:rPr>
          <w:rFonts w:hint="eastAsia"/>
          <w:sz w:val="18"/>
          <w:szCs w:val="18"/>
        </w:rPr>
        <w:t>5、到期公告：</w:t>
      </w:r>
    </w:p>
    <w:p>
      <w:pPr>
        <w:adjustRightInd w:val="0"/>
        <w:snapToGrid w:val="0"/>
        <w:spacing w:line="286" w:lineRule="auto"/>
        <w:rPr>
          <w:sz w:val="18"/>
          <w:szCs w:val="18"/>
        </w:rPr>
      </w:pPr>
      <w:r>
        <w:rPr>
          <w:rFonts w:hint="eastAsia"/>
          <w:sz w:val="18"/>
          <w:szCs w:val="18"/>
        </w:rPr>
        <w:t>（</w:t>
      </w:r>
      <w:r>
        <w:rPr>
          <w:sz w:val="18"/>
          <w:szCs w:val="18"/>
        </w:rPr>
        <w:t>1</w:t>
      </w:r>
      <w:r>
        <w:rPr>
          <w:rFonts w:hint="eastAsia"/>
          <w:sz w:val="18"/>
          <w:szCs w:val="18"/>
        </w:rPr>
        <w:t>）温州银行将在本产品到期日后5个工作日内，在温州银行网站发布到期公告。</w:t>
      </w:r>
    </w:p>
    <w:p>
      <w:pPr>
        <w:adjustRightInd w:val="0"/>
        <w:snapToGrid w:val="0"/>
        <w:spacing w:line="286" w:lineRule="auto"/>
        <w:rPr>
          <w:b/>
          <w:sz w:val="18"/>
          <w:szCs w:val="18"/>
        </w:rPr>
      </w:pPr>
      <w:r>
        <w:rPr>
          <w:rFonts w:hint="eastAsia"/>
          <w:b/>
          <w:sz w:val="18"/>
          <w:szCs w:val="18"/>
        </w:rPr>
        <w:t>（</w:t>
      </w:r>
      <w:r>
        <w:rPr>
          <w:b/>
          <w:sz w:val="18"/>
          <w:szCs w:val="18"/>
        </w:rPr>
        <w:t>2</w:t>
      </w:r>
      <w:r>
        <w:rPr>
          <w:rFonts w:hint="eastAsia"/>
          <w:b/>
          <w:sz w:val="18"/>
          <w:szCs w:val="18"/>
        </w:rPr>
        <w:t>）温州银行如在特定情况下提前终止本产品，将于实际终止日提前至少</w:t>
      </w:r>
      <w:r>
        <w:rPr>
          <w:b/>
          <w:sz w:val="18"/>
          <w:szCs w:val="18"/>
        </w:rPr>
        <w:t>1</w:t>
      </w:r>
      <w:r>
        <w:rPr>
          <w:rFonts w:hint="eastAsia"/>
          <w:b/>
          <w:sz w:val="18"/>
          <w:szCs w:val="18"/>
        </w:rPr>
        <w:t>个工作日，在温州银行网站和相关网点发布相关信息公告。</w:t>
      </w:r>
    </w:p>
    <w:p>
      <w:pPr>
        <w:adjustRightInd w:val="0"/>
        <w:snapToGrid w:val="0"/>
        <w:spacing w:line="286" w:lineRule="auto"/>
        <w:rPr>
          <w:sz w:val="18"/>
          <w:szCs w:val="18"/>
        </w:rPr>
      </w:pPr>
      <w:r>
        <w:rPr>
          <w:rFonts w:hint="eastAsia"/>
          <w:sz w:val="18"/>
          <w:szCs w:val="18"/>
        </w:rPr>
        <w:t>6、温州银行将在理财期内在温州银行网站（www.wzbank.cn）或电子银行等信息平台对本产品说明书予以公示。产品存续期间，投资者应当登录温州银行网站（www.wzbank.cn）或电子银行等信息平台获取与本理财产品相关的信息。</w:t>
      </w:r>
    </w:p>
    <w:p>
      <w:pPr>
        <w:adjustRightInd w:val="0"/>
        <w:snapToGrid w:val="0"/>
        <w:spacing w:line="286" w:lineRule="auto"/>
        <w:rPr>
          <w:sz w:val="18"/>
          <w:szCs w:val="18"/>
        </w:rPr>
      </w:pPr>
      <w:r>
        <w:rPr>
          <w:rFonts w:hint="eastAsia"/>
          <w:sz w:val="18"/>
          <w:szCs w:val="18"/>
        </w:rPr>
        <w:t>7、理财产品账单：温州银行将在理财期内在温州银行网站（www.wzbank.cn）或电子银行等信息平台，至少按月为投资者提供理财产品账单信息。</w:t>
      </w:r>
    </w:p>
    <w:p>
      <w:pPr>
        <w:adjustRightInd w:val="0"/>
        <w:snapToGrid w:val="0"/>
        <w:spacing w:line="276" w:lineRule="auto"/>
        <w:rPr>
          <w:b/>
          <w:sz w:val="18"/>
          <w:szCs w:val="18"/>
        </w:rPr>
      </w:pPr>
      <w:r>
        <w:rPr>
          <w:rFonts w:hint="eastAsia"/>
          <w:b/>
          <w:sz w:val="18"/>
          <w:szCs w:val="18"/>
        </w:rPr>
        <w:t>投资者信息管理</w:t>
      </w:r>
    </w:p>
    <w:p>
      <w:pPr>
        <w:adjustRightInd w:val="0"/>
        <w:snapToGrid w:val="0"/>
        <w:spacing w:line="285" w:lineRule="auto"/>
        <w:rPr>
          <w:sz w:val="18"/>
          <w:szCs w:val="18"/>
        </w:rPr>
      </w:pPr>
      <w:r>
        <w:rPr>
          <w:rFonts w:hint="eastAsia"/>
          <w:sz w:val="18"/>
          <w:szCs w:val="18"/>
        </w:rPr>
        <w:t>温州银行为订立、履行理财产品销售文件及履行法定义务、监管要求所需，有权获取投资者相关理财业务资料及信息。投资者购买温州银行理财产品的，视为同意温州银行获取投资者信息。</w:t>
      </w:r>
    </w:p>
    <w:p>
      <w:pPr>
        <w:adjustRightInd w:val="0"/>
        <w:snapToGrid w:val="0"/>
        <w:spacing w:line="285" w:lineRule="auto"/>
        <w:rPr>
          <w:sz w:val="18"/>
          <w:szCs w:val="18"/>
        </w:rPr>
      </w:pPr>
      <w:r>
        <w:rPr>
          <w:rFonts w:hint="eastAsia"/>
          <w:sz w:val="18"/>
          <w:szCs w:val="18"/>
        </w:rPr>
        <w:t>温州银行就上述获得的投资者信息承担保密义务，非经投资者同意不得向第三方披露，但投资者知悉并同意以下情形除外：</w:t>
      </w:r>
    </w:p>
    <w:p>
      <w:pPr>
        <w:numPr>
          <w:ilvl w:val="0"/>
          <w:numId w:val="4"/>
        </w:numPr>
        <w:adjustRightInd w:val="0"/>
        <w:snapToGrid w:val="0"/>
        <w:spacing w:line="285" w:lineRule="auto"/>
        <w:rPr>
          <w:sz w:val="18"/>
          <w:szCs w:val="18"/>
        </w:rPr>
      </w:pPr>
      <w:r>
        <w:rPr>
          <w:rFonts w:hint="eastAsia"/>
          <w:sz w:val="18"/>
          <w:szCs w:val="18"/>
        </w:rPr>
        <w:t>向司法机构、监管机构、产品登记机构或审计机构提供投资者信息；</w:t>
      </w:r>
    </w:p>
    <w:p>
      <w:pPr>
        <w:numPr>
          <w:ilvl w:val="0"/>
          <w:numId w:val="4"/>
        </w:numPr>
        <w:adjustRightInd w:val="0"/>
        <w:snapToGrid w:val="0"/>
        <w:spacing w:line="285" w:lineRule="auto"/>
        <w:rPr>
          <w:sz w:val="18"/>
          <w:szCs w:val="18"/>
        </w:rPr>
      </w:pPr>
      <w:r>
        <w:rPr>
          <w:rFonts w:hint="eastAsia"/>
          <w:sz w:val="18"/>
          <w:szCs w:val="18"/>
        </w:rPr>
        <w:t>温州银行可以委托银行业理财登记托管中心有限公司或其他监管认可的平台提供数据处理服务，包括数据传输、存储、统计分析个人信息等；</w:t>
      </w:r>
    </w:p>
    <w:p>
      <w:pPr>
        <w:numPr>
          <w:ilvl w:val="0"/>
          <w:numId w:val="4"/>
        </w:numPr>
        <w:adjustRightInd w:val="0"/>
        <w:snapToGrid w:val="0"/>
        <w:spacing w:line="285" w:lineRule="auto"/>
        <w:rPr>
          <w:sz w:val="18"/>
          <w:szCs w:val="18"/>
        </w:rPr>
      </w:pPr>
      <w:r>
        <w:rPr>
          <w:rFonts w:hint="eastAsia"/>
          <w:sz w:val="18"/>
          <w:szCs w:val="18"/>
        </w:rPr>
        <w:t>温州银行基于理财产品销售及管理需要，向业务合作机构（包括但不限于代理销售机构、投资合作机构、服务机构等）提供信息；</w:t>
      </w:r>
    </w:p>
    <w:p>
      <w:pPr>
        <w:numPr>
          <w:ilvl w:val="0"/>
          <w:numId w:val="4"/>
        </w:numPr>
        <w:adjustRightInd w:val="0"/>
        <w:snapToGrid w:val="0"/>
        <w:spacing w:line="285" w:lineRule="auto"/>
        <w:rPr>
          <w:sz w:val="18"/>
          <w:szCs w:val="18"/>
        </w:rPr>
      </w:pPr>
      <w:r>
        <w:rPr>
          <w:rFonts w:hint="eastAsia"/>
          <w:sz w:val="18"/>
          <w:szCs w:val="18"/>
        </w:rPr>
        <w:t>法律、行政法规和国务院监督管理机构另有规定或允许情形。</w:t>
      </w:r>
    </w:p>
    <w:p>
      <w:pPr>
        <w:adjustRightInd w:val="0"/>
        <w:snapToGrid w:val="0"/>
        <w:spacing w:line="286" w:lineRule="auto"/>
        <w:rPr>
          <w:b/>
          <w:sz w:val="18"/>
          <w:szCs w:val="18"/>
        </w:rPr>
      </w:pPr>
      <w:r>
        <w:rPr>
          <w:rFonts w:hint="eastAsia"/>
          <w:b/>
          <w:sz w:val="18"/>
          <w:szCs w:val="18"/>
        </w:rPr>
        <w:t>产品认购（申购）</w:t>
      </w:r>
    </w:p>
    <w:p>
      <w:pPr>
        <w:adjustRightInd w:val="0"/>
        <w:snapToGrid w:val="0"/>
        <w:spacing w:line="286" w:lineRule="auto"/>
        <w:rPr>
          <w:sz w:val="18"/>
          <w:szCs w:val="18"/>
        </w:rPr>
      </w:pPr>
      <w:r>
        <w:rPr>
          <w:sz w:val="18"/>
          <w:szCs w:val="18"/>
        </w:rPr>
        <w:t>1</w:t>
      </w:r>
      <w:r>
        <w:rPr>
          <w:rFonts w:hint="eastAsia"/>
          <w:sz w:val="18"/>
          <w:szCs w:val="18"/>
        </w:rPr>
        <w:t>、认购（申购）手续：在产品认购（申购）期内，个人投资者请带本人身份证原件及复印件、温州银行借记卡等到温州银行营业网点或通过温州银行电子渠道办理。投资者应确保购买本理财产品的资金来源合法，投资行为符合法律、法规及相关监管部门的规定，并承担相应的法律义务。</w:t>
      </w:r>
    </w:p>
    <w:p>
      <w:pPr>
        <w:adjustRightInd w:val="0"/>
        <w:snapToGrid w:val="0"/>
        <w:spacing w:line="286" w:lineRule="auto"/>
        <w:rPr>
          <w:sz w:val="18"/>
          <w:szCs w:val="18"/>
        </w:rPr>
      </w:pPr>
      <w:r>
        <w:rPr>
          <w:sz w:val="18"/>
          <w:szCs w:val="18"/>
        </w:rPr>
        <w:t>2</w:t>
      </w:r>
      <w:r>
        <w:rPr>
          <w:rFonts w:hint="eastAsia"/>
          <w:sz w:val="18"/>
          <w:szCs w:val="18"/>
        </w:rPr>
        <w:t>、资金划付：理财产品认购（申购）确认日，温州银行将按照投资者签署的理财计划合约中约定的认购（申购）金额从投资者资金账户中进行资金扣划，扣划前不做电话确认，无需客户另行授权。请投资者确保您的资金账户状态正常，如因资金账户状态异常而无法在理财计划成立日/投资周期起始日实现资金扣划，相应认购（申购）将做失败处理。</w:t>
      </w:r>
    </w:p>
    <w:p>
      <w:pPr>
        <w:adjustRightInd w:val="0"/>
        <w:snapToGrid w:val="0"/>
        <w:spacing w:line="286" w:lineRule="auto"/>
        <w:rPr>
          <w:sz w:val="18"/>
          <w:szCs w:val="18"/>
        </w:rPr>
      </w:pPr>
      <w:r>
        <w:rPr>
          <w:sz w:val="18"/>
          <w:szCs w:val="18"/>
        </w:rPr>
        <w:t>3</w:t>
      </w:r>
      <w:r>
        <w:rPr>
          <w:rFonts w:hint="eastAsia"/>
          <w:sz w:val="18"/>
          <w:szCs w:val="18"/>
        </w:rPr>
        <w:t>、产品发行规模有限，售完即止。</w:t>
      </w:r>
    </w:p>
    <w:p>
      <w:pPr>
        <w:adjustRightInd w:val="0"/>
        <w:snapToGrid w:val="0"/>
        <w:spacing w:line="286" w:lineRule="auto"/>
        <w:rPr>
          <w:b/>
          <w:sz w:val="18"/>
          <w:szCs w:val="18"/>
        </w:rPr>
      </w:pPr>
      <w:r>
        <w:rPr>
          <w:rFonts w:hint="eastAsia"/>
          <w:b/>
          <w:sz w:val="18"/>
          <w:szCs w:val="18"/>
        </w:rPr>
        <w:t>法律适用与争议解决</w:t>
      </w:r>
    </w:p>
    <w:p>
      <w:pPr>
        <w:adjustRightInd w:val="0"/>
        <w:snapToGrid w:val="0"/>
        <w:spacing w:line="286" w:lineRule="auto"/>
        <w:rPr>
          <w:sz w:val="18"/>
          <w:szCs w:val="18"/>
        </w:rPr>
      </w:pPr>
      <w:r>
        <w:rPr>
          <w:rFonts w:hint="eastAsia"/>
          <w:sz w:val="18"/>
          <w:szCs w:val="18"/>
        </w:rPr>
        <w:t>1.法律适用</w:t>
      </w:r>
    </w:p>
    <w:p>
      <w:pPr>
        <w:adjustRightInd w:val="0"/>
        <w:snapToGrid w:val="0"/>
        <w:spacing w:line="286" w:lineRule="auto"/>
        <w:rPr>
          <w:sz w:val="18"/>
          <w:szCs w:val="18"/>
        </w:rPr>
      </w:pPr>
      <w:r>
        <w:rPr>
          <w:rFonts w:hint="eastAsia"/>
          <w:sz w:val="18"/>
          <w:szCs w:val="18"/>
        </w:rPr>
        <w:t>理财计划合同的订立、生效、履行、修改和终止等事项适用中国内地法律。</w:t>
      </w:r>
    </w:p>
    <w:p>
      <w:pPr>
        <w:adjustRightInd w:val="0"/>
        <w:snapToGrid w:val="0"/>
        <w:spacing w:line="286" w:lineRule="auto"/>
        <w:rPr>
          <w:sz w:val="18"/>
          <w:szCs w:val="18"/>
        </w:rPr>
      </w:pPr>
      <w:r>
        <w:rPr>
          <w:rFonts w:hint="eastAsia"/>
          <w:sz w:val="18"/>
          <w:szCs w:val="18"/>
        </w:rPr>
        <w:t>2.争议解决</w:t>
      </w:r>
    </w:p>
    <w:p>
      <w:pPr>
        <w:adjustRightInd w:val="0"/>
        <w:snapToGrid w:val="0"/>
        <w:spacing w:line="286" w:lineRule="auto"/>
        <w:rPr>
          <w:sz w:val="18"/>
          <w:szCs w:val="18"/>
        </w:rPr>
      </w:pPr>
      <w:r>
        <w:rPr>
          <w:rFonts w:hint="eastAsia"/>
          <w:sz w:val="18"/>
          <w:szCs w:val="18"/>
        </w:rPr>
        <w:t>（1）凡因理财计划合同引起的或与理财计划合同有关的任何争议，由各方协商解决。如协商未成，任何一方可向温州市鹿城区人民法院提起诉讼。</w:t>
      </w:r>
    </w:p>
    <w:p>
      <w:pPr>
        <w:adjustRightInd w:val="0"/>
        <w:snapToGrid w:val="0"/>
        <w:spacing w:line="286" w:lineRule="auto"/>
        <w:rPr>
          <w:sz w:val="18"/>
          <w:szCs w:val="18"/>
        </w:rPr>
      </w:pPr>
      <w:r>
        <w:rPr>
          <w:rFonts w:hint="eastAsia"/>
          <w:sz w:val="18"/>
          <w:szCs w:val="18"/>
        </w:rPr>
        <w:t>（2）除各方发生争议的事项外，各方仍应当本着善意的原则按照理财计划文件的规定继续履行各自义务。</w:t>
      </w:r>
    </w:p>
    <w:p>
      <w:pPr>
        <w:adjustRightInd w:val="0"/>
        <w:snapToGrid w:val="0"/>
        <w:spacing w:line="286" w:lineRule="auto"/>
        <w:rPr>
          <w:sz w:val="18"/>
          <w:szCs w:val="18"/>
        </w:rPr>
      </w:pPr>
      <w:r>
        <w:rPr>
          <w:rFonts w:hint="eastAsia"/>
          <w:sz w:val="18"/>
          <w:szCs w:val="18"/>
        </w:rPr>
        <w:t>（3）《温州银行“金鹿理财-普惠</w:t>
      </w:r>
      <w:r>
        <w:rPr>
          <w:rFonts w:hint="eastAsia"/>
          <w:sz w:val="18"/>
          <w:szCs w:val="18"/>
          <w:lang w:eastAsia="zh-CN"/>
        </w:rPr>
        <w:t>季享”6号</w:t>
      </w:r>
      <w:r>
        <w:rPr>
          <w:rFonts w:hint="eastAsia"/>
          <w:sz w:val="18"/>
          <w:szCs w:val="18"/>
        </w:rPr>
        <w:t>开放式净值型银行理财计划风险揭示书》、《温州银行“金鹿理财”银行理财计划合约》、《温州银行“金鹿理财-普惠</w:t>
      </w:r>
      <w:r>
        <w:rPr>
          <w:rFonts w:hint="eastAsia"/>
          <w:sz w:val="18"/>
          <w:szCs w:val="18"/>
          <w:lang w:eastAsia="zh-CN"/>
        </w:rPr>
        <w:t>季享”6号</w:t>
      </w:r>
      <w:r>
        <w:rPr>
          <w:rFonts w:hint="eastAsia"/>
          <w:sz w:val="18"/>
          <w:szCs w:val="18"/>
        </w:rPr>
        <w:t>开放式净值型（第i期）银行理财计划开放认购（申购）申请书》和《温州银行理财产品投资者权益须知》等销售文件中的内容与本产品说明书不一致的，以本产品说明书约定的内容为准。</w:t>
      </w:r>
    </w:p>
    <w:p>
      <w:pPr>
        <w:spacing w:before="312" w:beforeLines="100" w:line="281" w:lineRule="auto"/>
        <w:rPr>
          <w:rFonts w:ascii="宋体" w:hAnsi="宋体"/>
          <w:szCs w:val="21"/>
        </w:rPr>
      </w:pPr>
      <w:r>
        <w:rPr>
          <w:rFonts w:hint="eastAsia" w:ascii="宋体" w:hAnsi="宋体"/>
          <w:szCs w:val="21"/>
        </w:rPr>
        <w:t xml:space="preserve">         投资者签章：                                 日期：</w:t>
      </w:r>
    </w:p>
    <w:sectPr>
      <w:footerReference r:id="rId3" w:type="default"/>
      <w:pgSz w:w="11906" w:h="16838"/>
      <w:pgMar w:top="851" w:right="1361" w:bottom="851"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4"/>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12</w:t>
    </w:r>
    <w:r>
      <w:rPr>
        <w:b/>
        <w:sz w:val="24"/>
        <w:szCs w:val="24"/>
      </w:rPr>
      <w:fldChar w:fldCharType="end"/>
    </w:r>
  </w:p>
  <w:p>
    <w:pPr>
      <w:pStyle w:val="4"/>
    </w:pP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D1BA6D1A"/>
    <w:multiLevelType w:val="singleLevel"/>
    <w:tmpl w:val="D1BA6D1A"/>
    <w:lvl w:ilvl="0" w:tentative="0">
      <w:start w:val="1"/>
      <w:numFmt w:val="decimal"/>
      <w:suff w:val="nothing"/>
      <w:lvlText w:val="（%1）"/>
      <w:lvlJc w:val="left"/>
      <w:pPr>
        <w:ind w:left="0" w:firstLine="0"/>
      </w:pPr>
    </w:lvl>
  </w:abstractNum>
  <w:abstractNum w:abstractNumId="1">
    <w:nsid w:val="03829B1D"/>
    <w:multiLevelType w:val="singleLevel"/>
    <w:tmpl w:val="03829B1D"/>
    <w:lvl w:ilvl="0" w:tentative="0">
      <w:start w:val="4"/>
      <w:numFmt w:val="decimal"/>
      <w:suff w:val="nothing"/>
      <w:lvlText w:val="%1、"/>
      <w:lvlJc w:val="left"/>
    </w:lvl>
  </w:abstractNum>
  <w:abstractNum w:abstractNumId="2">
    <w:nsid w:val="0DCAC7AF"/>
    <w:multiLevelType w:val="singleLevel"/>
    <w:tmpl w:val="0DCAC7AF"/>
    <w:lvl w:ilvl="0" w:tentative="0">
      <w:start w:val="1"/>
      <w:numFmt w:val="decimal"/>
      <w:suff w:val="nothing"/>
      <w:lvlText w:val="%1）"/>
      <w:lvlJc w:val="left"/>
    </w:lvl>
  </w:abstractNum>
  <w:abstractNum w:abstractNumId="3">
    <w:nsid w:val="63C75758"/>
    <w:multiLevelType w:val="singleLevel"/>
    <w:tmpl w:val="63C75758"/>
    <w:lvl w:ilvl="0" w:tentative="0">
      <w:start w:val="11"/>
      <w:numFmt w:val="decimal"/>
      <w:suff w:val="nothing"/>
      <w:lvlText w:val="（%1）"/>
      <w:lvlJc w:val="left"/>
    </w:lvl>
  </w:abstractNum>
  <w:num w:numId="1">
    <w:abstractNumId w:val="1"/>
  </w:num>
  <w:num w:numId="2">
    <w:abstractNumId w:val="3"/>
  </w:num>
  <w:num w:numId="3">
    <w:abstractNumId w:val="2"/>
  </w:num>
  <w:num w:numId="4">
    <w:abstractNumId w:val="0"/>
    <w:lvlOverride w:ilvl="0">
      <w:startOverride w:val="1"/>
    </w:lvlOverride>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dit="readOnly" w:enforcement="1" w:cryptProviderType="rsaFull" w:cryptAlgorithmClass="hash" w:cryptAlgorithmType="typeAny" w:cryptAlgorithmSid="4" w:cryptSpinCount="0" w:hash="YL/jEFB9qFvq1cRf8Ote1EL9+UU=" w:salt="l+B8Zl2Pmv4gJIY+yVYR/Q=="/>
  <w:defaultTabStop w:val="420"/>
  <w:drawingGridVerticalSpacing w:val="156"/>
  <w:displayHorizontalDrawingGridEvery w:val="0"/>
  <w:displayVerticalDrawingGridEvery w:val="2"/>
  <w:characterSpacingControl w:val="compressPunctuation"/>
  <w:doNotValidateAgainstSchema/>
  <w:doNotDemarcateInvalidXml/>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0BD4"/>
    <w:rsid w:val="0001592B"/>
    <w:rsid w:val="00021A55"/>
    <w:rsid w:val="0002448A"/>
    <w:rsid w:val="0002530D"/>
    <w:rsid w:val="00030D80"/>
    <w:rsid w:val="00037BF4"/>
    <w:rsid w:val="00057C36"/>
    <w:rsid w:val="00072738"/>
    <w:rsid w:val="00074701"/>
    <w:rsid w:val="000773B8"/>
    <w:rsid w:val="00090DCE"/>
    <w:rsid w:val="00093C1F"/>
    <w:rsid w:val="000A24D9"/>
    <w:rsid w:val="000A6768"/>
    <w:rsid w:val="000A76AD"/>
    <w:rsid w:val="000C4E56"/>
    <w:rsid w:val="000D5D81"/>
    <w:rsid w:val="000D7E58"/>
    <w:rsid w:val="000E4DFB"/>
    <w:rsid w:val="000E70C0"/>
    <w:rsid w:val="000F73EB"/>
    <w:rsid w:val="001224C7"/>
    <w:rsid w:val="001327C2"/>
    <w:rsid w:val="001513E8"/>
    <w:rsid w:val="00172A27"/>
    <w:rsid w:val="00174C1E"/>
    <w:rsid w:val="00175BC0"/>
    <w:rsid w:val="001878D6"/>
    <w:rsid w:val="001A266D"/>
    <w:rsid w:val="001B072E"/>
    <w:rsid w:val="001B3C36"/>
    <w:rsid w:val="001C4450"/>
    <w:rsid w:val="001C5082"/>
    <w:rsid w:val="001C6468"/>
    <w:rsid w:val="001D249C"/>
    <w:rsid w:val="00200136"/>
    <w:rsid w:val="00200E4E"/>
    <w:rsid w:val="00201EDB"/>
    <w:rsid w:val="00213831"/>
    <w:rsid w:val="002227DF"/>
    <w:rsid w:val="0022470B"/>
    <w:rsid w:val="00232248"/>
    <w:rsid w:val="00240506"/>
    <w:rsid w:val="002414F1"/>
    <w:rsid w:val="00254268"/>
    <w:rsid w:val="00263685"/>
    <w:rsid w:val="00270113"/>
    <w:rsid w:val="00277F68"/>
    <w:rsid w:val="00283708"/>
    <w:rsid w:val="00284CF7"/>
    <w:rsid w:val="002920DB"/>
    <w:rsid w:val="00292B4F"/>
    <w:rsid w:val="00295577"/>
    <w:rsid w:val="002B0DB2"/>
    <w:rsid w:val="002B4C51"/>
    <w:rsid w:val="002D2FEE"/>
    <w:rsid w:val="002D3346"/>
    <w:rsid w:val="002D38E1"/>
    <w:rsid w:val="002E1193"/>
    <w:rsid w:val="002F586E"/>
    <w:rsid w:val="00311060"/>
    <w:rsid w:val="00316211"/>
    <w:rsid w:val="003202D1"/>
    <w:rsid w:val="003234C3"/>
    <w:rsid w:val="00327CC1"/>
    <w:rsid w:val="00331715"/>
    <w:rsid w:val="00335AAB"/>
    <w:rsid w:val="00337FAA"/>
    <w:rsid w:val="00355563"/>
    <w:rsid w:val="00357FFC"/>
    <w:rsid w:val="00365AC9"/>
    <w:rsid w:val="00393B79"/>
    <w:rsid w:val="00396330"/>
    <w:rsid w:val="003B2C0B"/>
    <w:rsid w:val="003C0AAE"/>
    <w:rsid w:val="003C7E63"/>
    <w:rsid w:val="003D56A0"/>
    <w:rsid w:val="003E17D1"/>
    <w:rsid w:val="003E695A"/>
    <w:rsid w:val="00411496"/>
    <w:rsid w:val="0041376C"/>
    <w:rsid w:val="0041485A"/>
    <w:rsid w:val="004149A7"/>
    <w:rsid w:val="00417895"/>
    <w:rsid w:val="00417F06"/>
    <w:rsid w:val="00423734"/>
    <w:rsid w:val="00423CAE"/>
    <w:rsid w:val="004278C0"/>
    <w:rsid w:val="004317BE"/>
    <w:rsid w:val="00447041"/>
    <w:rsid w:val="00452A4B"/>
    <w:rsid w:val="00456806"/>
    <w:rsid w:val="004668AB"/>
    <w:rsid w:val="00470F35"/>
    <w:rsid w:val="00476925"/>
    <w:rsid w:val="004800A1"/>
    <w:rsid w:val="00483CA8"/>
    <w:rsid w:val="004C668B"/>
    <w:rsid w:val="004D22D2"/>
    <w:rsid w:val="004D78AD"/>
    <w:rsid w:val="004E1894"/>
    <w:rsid w:val="004F4867"/>
    <w:rsid w:val="004F4993"/>
    <w:rsid w:val="0050183B"/>
    <w:rsid w:val="0050310C"/>
    <w:rsid w:val="005236A4"/>
    <w:rsid w:val="00526355"/>
    <w:rsid w:val="005333E7"/>
    <w:rsid w:val="00541381"/>
    <w:rsid w:val="00543E6B"/>
    <w:rsid w:val="0054786A"/>
    <w:rsid w:val="00560484"/>
    <w:rsid w:val="00565D6D"/>
    <w:rsid w:val="00584A33"/>
    <w:rsid w:val="005C1814"/>
    <w:rsid w:val="005D00A7"/>
    <w:rsid w:val="005E003B"/>
    <w:rsid w:val="005E1224"/>
    <w:rsid w:val="005F0ADF"/>
    <w:rsid w:val="005F4153"/>
    <w:rsid w:val="005F48B2"/>
    <w:rsid w:val="00606B12"/>
    <w:rsid w:val="00607D7E"/>
    <w:rsid w:val="006131D3"/>
    <w:rsid w:val="00616A9E"/>
    <w:rsid w:val="006320DF"/>
    <w:rsid w:val="00635890"/>
    <w:rsid w:val="00645D61"/>
    <w:rsid w:val="00662969"/>
    <w:rsid w:val="00675E2D"/>
    <w:rsid w:val="00677DB7"/>
    <w:rsid w:val="006807AD"/>
    <w:rsid w:val="00680B55"/>
    <w:rsid w:val="00681EA0"/>
    <w:rsid w:val="006871D5"/>
    <w:rsid w:val="006940BB"/>
    <w:rsid w:val="00696817"/>
    <w:rsid w:val="006A44DB"/>
    <w:rsid w:val="006A4DCA"/>
    <w:rsid w:val="006A5C18"/>
    <w:rsid w:val="006C2300"/>
    <w:rsid w:val="006E0989"/>
    <w:rsid w:val="006E7B4A"/>
    <w:rsid w:val="0071047A"/>
    <w:rsid w:val="0071552D"/>
    <w:rsid w:val="00715881"/>
    <w:rsid w:val="00716CFC"/>
    <w:rsid w:val="0072441B"/>
    <w:rsid w:val="007250BB"/>
    <w:rsid w:val="007408D0"/>
    <w:rsid w:val="007418E8"/>
    <w:rsid w:val="007420B8"/>
    <w:rsid w:val="00767169"/>
    <w:rsid w:val="00772F1A"/>
    <w:rsid w:val="00774B99"/>
    <w:rsid w:val="00781E33"/>
    <w:rsid w:val="00784FF1"/>
    <w:rsid w:val="007948FD"/>
    <w:rsid w:val="007A0DD0"/>
    <w:rsid w:val="007A2668"/>
    <w:rsid w:val="007A6295"/>
    <w:rsid w:val="007B319B"/>
    <w:rsid w:val="007B40AA"/>
    <w:rsid w:val="007B43C7"/>
    <w:rsid w:val="007D6AB9"/>
    <w:rsid w:val="007D74E0"/>
    <w:rsid w:val="007E78B8"/>
    <w:rsid w:val="007F0FB3"/>
    <w:rsid w:val="007F7B52"/>
    <w:rsid w:val="0080322B"/>
    <w:rsid w:val="00821571"/>
    <w:rsid w:val="0083211C"/>
    <w:rsid w:val="008348C5"/>
    <w:rsid w:val="0083490C"/>
    <w:rsid w:val="008507F2"/>
    <w:rsid w:val="00853209"/>
    <w:rsid w:val="008538DA"/>
    <w:rsid w:val="00854453"/>
    <w:rsid w:val="008603CA"/>
    <w:rsid w:val="00864A10"/>
    <w:rsid w:val="00871D73"/>
    <w:rsid w:val="00875641"/>
    <w:rsid w:val="00881761"/>
    <w:rsid w:val="008826B8"/>
    <w:rsid w:val="00883377"/>
    <w:rsid w:val="008839ED"/>
    <w:rsid w:val="00883BDE"/>
    <w:rsid w:val="00884B07"/>
    <w:rsid w:val="0089389F"/>
    <w:rsid w:val="008A0854"/>
    <w:rsid w:val="008D02C9"/>
    <w:rsid w:val="008E35D2"/>
    <w:rsid w:val="008F77F3"/>
    <w:rsid w:val="00905E6C"/>
    <w:rsid w:val="0091076A"/>
    <w:rsid w:val="00913684"/>
    <w:rsid w:val="00926BDB"/>
    <w:rsid w:val="00926E46"/>
    <w:rsid w:val="009361EA"/>
    <w:rsid w:val="00940984"/>
    <w:rsid w:val="00940E8A"/>
    <w:rsid w:val="00942523"/>
    <w:rsid w:val="00955C82"/>
    <w:rsid w:val="00962E2B"/>
    <w:rsid w:val="009660F8"/>
    <w:rsid w:val="0096731D"/>
    <w:rsid w:val="009709DB"/>
    <w:rsid w:val="00971C73"/>
    <w:rsid w:val="009729A3"/>
    <w:rsid w:val="009743F3"/>
    <w:rsid w:val="0098184C"/>
    <w:rsid w:val="0098325C"/>
    <w:rsid w:val="0098666D"/>
    <w:rsid w:val="00992652"/>
    <w:rsid w:val="009943AE"/>
    <w:rsid w:val="0099651C"/>
    <w:rsid w:val="00996ED6"/>
    <w:rsid w:val="009A3DF7"/>
    <w:rsid w:val="009A4BB7"/>
    <w:rsid w:val="009B2D45"/>
    <w:rsid w:val="009D4976"/>
    <w:rsid w:val="009E3D90"/>
    <w:rsid w:val="009F35B4"/>
    <w:rsid w:val="00A02C99"/>
    <w:rsid w:val="00A03C1B"/>
    <w:rsid w:val="00A30A29"/>
    <w:rsid w:val="00A34CB4"/>
    <w:rsid w:val="00A4162F"/>
    <w:rsid w:val="00A4210C"/>
    <w:rsid w:val="00A42BBA"/>
    <w:rsid w:val="00A605F7"/>
    <w:rsid w:val="00A62A1A"/>
    <w:rsid w:val="00A63A86"/>
    <w:rsid w:val="00A75676"/>
    <w:rsid w:val="00A77638"/>
    <w:rsid w:val="00A85414"/>
    <w:rsid w:val="00A9272A"/>
    <w:rsid w:val="00A94352"/>
    <w:rsid w:val="00AA0BCA"/>
    <w:rsid w:val="00AA235B"/>
    <w:rsid w:val="00AA30D2"/>
    <w:rsid w:val="00AA5EAB"/>
    <w:rsid w:val="00AA798B"/>
    <w:rsid w:val="00AB07C5"/>
    <w:rsid w:val="00AB1240"/>
    <w:rsid w:val="00AB4C88"/>
    <w:rsid w:val="00AB5E02"/>
    <w:rsid w:val="00AC0326"/>
    <w:rsid w:val="00AC4F2E"/>
    <w:rsid w:val="00AD65C5"/>
    <w:rsid w:val="00AF1EA1"/>
    <w:rsid w:val="00AF3269"/>
    <w:rsid w:val="00B01686"/>
    <w:rsid w:val="00B10799"/>
    <w:rsid w:val="00B1643B"/>
    <w:rsid w:val="00B1785B"/>
    <w:rsid w:val="00B21C5E"/>
    <w:rsid w:val="00B30DC3"/>
    <w:rsid w:val="00B37831"/>
    <w:rsid w:val="00B625CA"/>
    <w:rsid w:val="00B66B39"/>
    <w:rsid w:val="00B85F47"/>
    <w:rsid w:val="00B93D50"/>
    <w:rsid w:val="00B9709A"/>
    <w:rsid w:val="00B9734C"/>
    <w:rsid w:val="00BB0CD4"/>
    <w:rsid w:val="00BC0976"/>
    <w:rsid w:val="00BD4426"/>
    <w:rsid w:val="00BF2243"/>
    <w:rsid w:val="00BF4706"/>
    <w:rsid w:val="00BF4F90"/>
    <w:rsid w:val="00BF620E"/>
    <w:rsid w:val="00C027A1"/>
    <w:rsid w:val="00C0532A"/>
    <w:rsid w:val="00C059F8"/>
    <w:rsid w:val="00C073C2"/>
    <w:rsid w:val="00C242A5"/>
    <w:rsid w:val="00C24357"/>
    <w:rsid w:val="00C24F32"/>
    <w:rsid w:val="00C305A3"/>
    <w:rsid w:val="00C35DAF"/>
    <w:rsid w:val="00C56ED4"/>
    <w:rsid w:val="00C72133"/>
    <w:rsid w:val="00C80707"/>
    <w:rsid w:val="00C810C6"/>
    <w:rsid w:val="00C84D81"/>
    <w:rsid w:val="00C97136"/>
    <w:rsid w:val="00CA13A5"/>
    <w:rsid w:val="00CC2C76"/>
    <w:rsid w:val="00CC765E"/>
    <w:rsid w:val="00CD09FF"/>
    <w:rsid w:val="00CD409B"/>
    <w:rsid w:val="00CE617C"/>
    <w:rsid w:val="00CE7491"/>
    <w:rsid w:val="00CE7E5D"/>
    <w:rsid w:val="00D01626"/>
    <w:rsid w:val="00D25B32"/>
    <w:rsid w:val="00D356D1"/>
    <w:rsid w:val="00D36208"/>
    <w:rsid w:val="00D41F07"/>
    <w:rsid w:val="00D512E8"/>
    <w:rsid w:val="00D55DFB"/>
    <w:rsid w:val="00D57AFE"/>
    <w:rsid w:val="00D6260D"/>
    <w:rsid w:val="00D63C88"/>
    <w:rsid w:val="00D63DA7"/>
    <w:rsid w:val="00D70358"/>
    <w:rsid w:val="00D82A41"/>
    <w:rsid w:val="00D93FDC"/>
    <w:rsid w:val="00D94430"/>
    <w:rsid w:val="00DA3F75"/>
    <w:rsid w:val="00DB0875"/>
    <w:rsid w:val="00DB2CA3"/>
    <w:rsid w:val="00DC2B39"/>
    <w:rsid w:val="00DC65FC"/>
    <w:rsid w:val="00DC7C59"/>
    <w:rsid w:val="00DD29AD"/>
    <w:rsid w:val="00DD7530"/>
    <w:rsid w:val="00DE34C0"/>
    <w:rsid w:val="00E1017C"/>
    <w:rsid w:val="00E12E29"/>
    <w:rsid w:val="00E12F16"/>
    <w:rsid w:val="00E16528"/>
    <w:rsid w:val="00E24A4D"/>
    <w:rsid w:val="00E266E2"/>
    <w:rsid w:val="00E3238B"/>
    <w:rsid w:val="00E32508"/>
    <w:rsid w:val="00E3681B"/>
    <w:rsid w:val="00E40303"/>
    <w:rsid w:val="00E42C84"/>
    <w:rsid w:val="00E52F41"/>
    <w:rsid w:val="00E60A78"/>
    <w:rsid w:val="00E60CF4"/>
    <w:rsid w:val="00E63B73"/>
    <w:rsid w:val="00E65B25"/>
    <w:rsid w:val="00E662D2"/>
    <w:rsid w:val="00E70F57"/>
    <w:rsid w:val="00E71505"/>
    <w:rsid w:val="00E754E0"/>
    <w:rsid w:val="00E84D0D"/>
    <w:rsid w:val="00E8643F"/>
    <w:rsid w:val="00E87CB9"/>
    <w:rsid w:val="00E909CC"/>
    <w:rsid w:val="00E924AA"/>
    <w:rsid w:val="00EA75DD"/>
    <w:rsid w:val="00EB3CE4"/>
    <w:rsid w:val="00EB5277"/>
    <w:rsid w:val="00EC4367"/>
    <w:rsid w:val="00EC6311"/>
    <w:rsid w:val="00EF0939"/>
    <w:rsid w:val="00EF6E3A"/>
    <w:rsid w:val="00F049E8"/>
    <w:rsid w:val="00F10679"/>
    <w:rsid w:val="00F13828"/>
    <w:rsid w:val="00F147A8"/>
    <w:rsid w:val="00F15351"/>
    <w:rsid w:val="00F16536"/>
    <w:rsid w:val="00F41CAD"/>
    <w:rsid w:val="00F464B6"/>
    <w:rsid w:val="00F531B4"/>
    <w:rsid w:val="00F716E3"/>
    <w:rsid w:val="00F8620F"/>
    <w:rsid w:val="00F9213E"/>
    <w:rsid w:val="00F925B2"/>
    <w:rsid w:val="00F94C2E"/>
    <w:rsid w:val="00F95651"/>
    <w:rsid w:val="00FB4B88"/>
    <w:rsid w:val="00FC488B"/>
    <w:rsid w:val="00FD4E62"/>
    <w:rsid w:val="00FE2618"/>
    <w:rsid w:val="00FF5369"/>
    <w:rsid w:val="020974D0"/>
    <w:rsid w:val="03E53755"/>
    <w:rsid w:val="066C589E"/>
    <w:rsid w:val="09B94EA2"/>
    <w:rsid w:val="0CBE0DC0"/>
    <w:rsid w:val="0D932C83"/>
    <w:rsid w:val="0E3B5E45"/>
    <w:rsid w:val="0ECE1796"/>
    <w:rsid w:val="0FE54F11"/>
    <w:rsid w:val="0FE82C2F"/>
    <w:rsid w:val="126646E4"/>
    <w:rsid w:val="146B494C"/>
    <w:rsid w:val="159568EC"/>
    <w:rsid w:val="15E33B2F"/>
    <w:rsid w:val="1624383D"/>
    <w:rsid w:val="1AA621F2"/>
    <w:rsid w:val="1C705AA1"/>
    <w:rsid w:val="1CFA3565"/>
    <w:rsid w:val="1E5D6CD4"/>
    <w:rsid w:val="1E892A88"/>
    <w:rsid w:val="1EB46358"/>
    <w:rsid w:val="1F3C3C29"/>
    <w:rsid w:val="2046303D"/>
    <w:rsid w:val="218C0FFF"/>
    <w:rsid w:val="22D61972"/>
    <w:rsid w:val="24B5250E"/>
    <w:rsid w:val="24EC01E5"/>
    <w:rsid w:val="26391DA6"/>
    <w:rsid w:val="27136D61"/>
    <w:rsid w:val="288238BF"/>
    <w:rsid w:val="28F040F4"/>
    <w:rsid w:val="2A4A498F"/>
    <w:rsid w:val="2A895AE0"/>
    <w:rsid w:val="2E9C558E"/>
    <w:rsid w:val="2ED174C9"/>
    <w:rsid w:val="2F6B7FAD"/>
    <w:rsid w:val="309C114C"/>
    <w:rsid w:val="323E181F"/>
    <w:rsid w:val="329B527D"/>
    <w:rsid w:val="372A2254"/>
    <w:rsid w:val="38AD607F"/>
    <w:rsid w:val="39F24DBC"/>
    <w:rsid w:val="3C2600FF"/>
    <w:rsid w:val="3C2F4817"/>
    <w:rsid w:val="3D8657D9"/>
    <w:rsid w:val="3E773417"/>
    <w:rsid w:val="40876BD9"/>
    <w:rsid w:val="41696BFE"/>
    <w:rsid w:val="41A2557E"/>
    <w:rsid w:val="42E80146"/>
    <w:rsid w:val="430E3733"/>
    <w:rsid w:val="44020BD3"/>
    <w:rsid w:val="45880862"/>
    <w:rsid w:val="46616490"/>
    <w:rsid w:val="472A2551"/>
    <w:rsid w:val="47500909"/>
    <w:rsid w:val="48113790"/>
    <w:rsid w:val="4A5E2770"/>
    <w:rsid w:val="4A803D41"/>
    <w:rsid w:val="4D522BFA"/>
    <w:rsid w:val="4EE753FB"/>
    <w:rsid w:val="4EEB4EDA"/>
    <w:rsid w:val="4F890433"/>
    <w:rsid w:val="50044A9D"/>
    <w:rsid w:val="504772D4"/>
    <w:rsid w:val="51824B96"/>
    <w:rsid w:val="54136DAE"/>
    <w:rsid w:val="57321F73"/>
    <w:rsid w:val="597154CE"/>
    <w:rsid w:val="5AB80354"/>
    <w:rsid w:val="5D6D5995"/>
    <w:rsid w:val="5E661915"/>
    <w:rsid w:val="60673C3A"/>
    <w:rsid w:val="61531CCB"/>
    <w:rsid w:val="61D77567"/>
    <w:rsid w:val="64050BF1"/>
    <w:rsid w:val="648166C0"/>
    <w:rsid w:val="67BF7733"/>
    <w:rsid w:val="69624529"/>
    <w:rsid w:val="6FA8317D"/>
    <w:rsid w:val="70351356"/>
    <w:rsid w:val="71F277C9"/>
    <w:rsid w:val="723D7B75"/>
    <w:rsid w:val="725B595C"/>
    <w:rsid w:val="73E946FA"/>
    <w:rsid w:val="767F00CC"/>
    <w:rsid w:val="76E31EAC"/>
    <w:rsid w:val="775A5D01"/>
    <w:rsid w:val="7AEF5FC2"/>
    <w:rsid w:val="7D3F4EE6"/>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t" stroke="t">
      <v:fill type="gradient" on="t" angle="90" focussize="0f,0f" focusposition="0f,0f">
        <o:fill type="gradientUnscaled" v:ext="backwardCompatible"/>
      </v:fill>
      <v:stroke weight="1.25pt" color="#739CC3"/>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qFormat="1" w:uiPriority="99" w:semiHidden="0" w:name="annotation text"/>
    <w:lsdException w:qFormat="1" w:uiPriority="99" w:semiHidden="0" w:name="header"/>
    <w:lsdException w:qFormat="1"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qFormat="1" w:uiPriority="99" w:semiHidden="0"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qFormat="1" w:uiPriority="99" w:semiHidden="0"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qFormat="1" w:uiPriority="99" w:semiHidden="0" w:name="HTML Preformatted"/>
    <w:lsdException w:uiPriority="99" w:name="HTML Sample"/>
    <w:lsdException w:uiPriority="99" w:name="HTML Typewriter"/>
    <w:lsdException w:uiPriority="99" w:name="HTML Variable"/>
    <w:lsdException w:uiPriority="99" w:name="Normal Table"/>
    <w:lsdException w:qFormat="1" w:uiPriority="99" w:semiHidden="0"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qFormat="1" w:uiPriority="99" w:semiHidden="0" w:name="Balloon Text"/>
    <w:lsdException w:unhideWhenUsed="0" w:uiPriority="9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lang w:val="en-US" w:eastAsia="zh-CN" w:bidi="ar-SA"/>
    </w:rPr>
  </w:style>
  <w:style w:type="character" w:default="1" w:styleId="10">
    <w:name w:val="Default Paragraph Font"/>
    <w:semiHidden/>
    <w:unhideWhenUsed/>
    <w:uiPriority w:val="1"/>
  </w:style>
  <w:style w:type="table" w:default="1" w:styleId="9">
    <w:name w:val="Normal Table"/>
    <w:semiHidden/>
    <w:unhideWhenUsed/>
    <w:uiPriority w:val="99"/>
    <w:tblPr>
      <w:tblCellMar>
        <w:top w:w="0" w:type="dxa"/>
        <w:left w:w="108" w:type="dxa"/>
        <w:bottom w:w="0" w:type="dxa"/>
        <w:right w:w="108" w:type="dxa"/>
      </w:tblCellMar>
    </w:tblPr>
  </w:style>
  <w:style w:type="paragraph" w:styleId="2">
    <w:name w:val="annotation text"/>
    <w:basedOn w:val="1"/>
    <w:link w:val="18"/>
    <w:unhideWhenUsed/>
    <w:qFormat/>
    <w:uiPriority w:val="99"/>
    <w:pPr>
      <w:jc w:val="left"/>
    </w:pPr>
  </w:style>
  <w:style w:type="paragraph" w:styleId="3">
    <w:name w:val="Balloon Text"/>
    <w:basedOn w:val="1"/>
    <w:link w:val="16"/>
    <w:unhideWhenUsed/>
    <w:qFormat/>
    <w:uiPriority w:val="99"/>
    <w:rPr>
      <w:sz w:val="18"/>
      <w:szCs w:val="18"/>
    </w:rPr>
  </w:style>
  <w:style w:type="paragraph" w:styleId="4">
    <w:name w:val="footer"/>
    <w:basedOn w:val="1"/>
    <w:link w:val="21"/>
    <w:unhideWhenUsed/>
    <w:qFormat/>
    <w:uiPriority w:val="99"/>
    <w:pPr>
      <w:tabs>
        <w:tab w:val="center" w:pos="4153"/>
        <w:tab w:val="right" w:pos="8306"/>
      </w:tabs>
      <w:snapToGrid w:val="0"/>
      <w:jc w:val="left"/>
    </w:pPr>
    <w:rPr>
      <w:rFonts w:ascii="Calibri" w:hAnsi="Calibri"/>
      <w:kern w:val="0"/>
      <w:sz w:val="18"/>
      <w:szCs w:val="18"/>
    </w:rPr>
  </w:style>
  <w:style w:type="paragraph" w:styleId="5">
    <w:name w:val="header"/>
    <w:basedOn w:val="1"/>
    <w:link w:val="19"/>
    <w:unhideWhenUsed/>
    <w:qFormat/>
    <w:uiPriority w:val="99"/>
    <w:pPr>
      <w:pBdr>
        <w:bottom w:val="single" w:color="auto" w:sz="6" w:space="1"/>
      </w:pBdr>
      <w:tabs>
        <w:tab w:val="center" w:pos="4153"/>
        <w:tab w:val="right" w:pos="8306"/>
      </w:tabs>
      <w:snapToGrid w:val="0"/>
      <w:jc w:val="center"/>
    </w:pPr>
    <w:rPr>
      <w:rFonts w:ascii="Calibri" w:hAnsi="Calibri"/>
      <w:kern w:val="0"/>
      <w:sz w:val="18"/>
      <w:szCs w:val="18"/>
    </w:rPr>
  </w:style>
  <w:style w:type="paragraph" w:styleId="6">
    <w:name w:val="HTML Preformatted"/>
    <w:basedOn w:val="1"/>
    <w:link w:val="20"/>
    <w:unhideWhenUsed/>
    <w:qFormat/>
    <w:uiPriority w:val="99"/>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szCs w:val="24"/>
    </w:rPr>
  </w:style>
  <w:style w:type="paragraph" w:styleId="7">
    <w:name w:val="Normal (Web)"/>
    <w:basedOn w:val="1"/>
    <w:unhideWhenUsed/>
    <w:qFormat/>
    <w:uiPriority w:val="99"/>
    <w:rPr>
      <w:sz w:val="24"/>
    </w:rPr>
  </w:style>
  <w:style w:type="paragraph" w:styleId="8">
    <w:name w:val="annotation subject"/>
    <w:basedOn w:val="2"/>
    <w:next w:val="2"/>
    <w:link w:val="17"/>
    <w:unhideWhenUsed/>
    <w:qFormat/>
    <w:uiPriority w:val="99"/>
    <w:rPr>
      <w:b/>
      <w:bCs/>
    </w:rPr>
  </w:style>
  <w:style w:type="character" w:styleId="11">
    <w:name w:val="annotation reference"/>
    <w:unhideWhenUsed/>
    <w:qFormat/>
    <w:uiPriority w:val="99"/>
    <w:rPr>
      <w:sz w:val="21"/>
      <w:szCs w:val="21"/>
    </w:rPr>
  </w:style>
  <w:style w:type="paragraph" w:styleId="12">
    <w:name w:val="List Paragraph"/>
    <w:basedOn w:val="1"/>
    <w:qFormat/>
    <w:uiPriority w:val="34"/>
    <w:pPr>
      <w:widowControl/>
      <w:ind w:firstLine="420"/>
    </w:pPr>
    <w:rPr>
      <w:rFonts w:ascii="Calibri" w:hAnsi="Calibri" w:cs="宋体"/>
      <w:kern w:val="0"/>
      <w:szCs w:val="21"/>
    </w:rPr>
  </w:style>
  <w:style w:type="paragraph" w:customStyle="1" w:styleId="13">
    <w:name w:val="_Style 12"/>
    <w:unhideWhenUsed/>
    <w:qFormat/>
    <w:uiPriority w:val="99"/>
    <w:rPr>
      <w:rFonts w:ascii="Times New Roman" w:hAnsi="Times New Roman" w:eastAsia="宋体" w:cs="Times New Roman"/>
      <w:kern w:val="2"/>
      <w:sz w:val="21"/>
      <w:lang w:val="en-US" w:eastAsia="zh-CN" w:bidi="ar-SA"/>
    </w:rPr>
  </w:style>
  <w:style w:type="paragraph" w:customStyle="1" w:styleId="14">
    <w:name w:val="msonormalcxspmiddle"/>
    <w:basedOn w:val="1"/>
    <w:qFormat/>
    <w:uiPriority w:val="0"/>
    <w:pPr>
      <w:widowControl/>
      <w:spacing w:before="100" w:beforeAutospacing="1" w:after="100" w:afterAutospacing="1"/>
      <w:jc w:val="left"/>
    </w:pPr>
    <w:rPr>
      <w:rFonts w:ascii="宋体" w:hAnsi="宋体" w:cs="宋体"/>
      <w:kern w:val="0"/>
      <w:sz w:val="24"/>
      <w:szCs w:val="24"/>
    </w:rPr>
  </w:style>
  <w:style w:type="paragraph" w:customStyle="1" w:styleId="15">
    <w:name w:val="Default"/>
    <w:qFormat/>
    <w:uiPriority w:val="0"/>
    <w:pPr>
      <w:widowControl w:val="0"/>
      <w:autoSpaceDE w:val="0"/>
      <w:autoSpaceDN w:val="0"/>
      <w:adjustRightInd w:val="0"/>
    </w:pPr>
    <w:rPr>
      <w:rFonts w:ascii="仿宋_GB2312" w:hAnsi="Times New Roman" w:eastAsia="仿宋_GB2312" w:cs="仿宋_GB2312"/>
      <w:color w:val="000000"/>
      <w:sz w:val="24"/>
      <w:szCs w:val="24"/>
      <w:lang w:val="en-US" w:eastAsia="zh-CN" w:bidi="ar-SA"/>
    </w:rPr>
  </w:style>
  <w:style w:type="character" w:customStyle="1" w:styleId="16">
    <w:name w:val="批注框文本 字符"/>
    <w:link w:val="3"/>
    <w:semiHidden/>
    <w:qFormat/>
    <w:uiPriority w:val="99"/>
    <w:rPr>
      <w:rFonts w:ascii="Times New Roman" w:hAnsi="Times New Roman"/>
      <w:kern w:val="2"/>
      <w:sz w:val="18"/>
      <w:szCs w:val="18"/>
    </w:rPr>
  </w:style>
  <w:style w:type="character" w:customStyle="1" w:styleId="17">
    <w:name w:val="批注主题 字符"/>
    <w:link w:val="8"/>
    <w:semiHidden/>
    <w:qFormat/>
    <w:uiPriority w:val="99"/>
    <w:rPr>
      <w:rFonts w:ascii="Times New Roman" w:hAnsi="Times New Roman"/>
      <w:b/>
      <w:bCs/>
      <w:kern w:val="2"/>
      <w:sz w:val="21"/>
    </w:rPr>
  </w:style>
  <w:style w:type="character" w:customStyle="1" w:styleId="18">
    <w:name w:val="批注文字 字符"/>
    <w:link w:val="2"/>
    <w:semiHidden/>
    <w:qFormat/>
    <w:uiPriority w:val="99"/>
    <w:rPr>
      <w:rFonts w:ascii="Times New Roman" w:hAnsi="Times New Roman"/>
      <w:kern w:val="2"/>
      <w:sz w:val="21"/>
    </w:rPr>
  </w:style>
  <w:style w:type="character" w:customStyle="1" w:styleId="19">
    <w:name w:val="页眉 字符"/>
    <w:link w:val="5"/>
    <w:semiHidden/>
    <w:qFormat/>
    <w:uiPriority w:val="99"/>
    <w:rPr>
      <w:sz w:val="18"/>
      <w:szCs w:val="18"/>
    </w:rPr>
  </w:style>
  <w:style w:type="character" w:customStyle="1" w:styleId="20">
    <w:name w:val="HTML 预设格式 字符"/>
    <w:link w:val="6"/>
    <w:semiHidden/>
    <w:qFormat/>
    <w:uiPriority w:val="99"/>
    <w:rPr>
      <w:rFonts w:ascii="宋体" w:hAnsi="宋体" w:cs="宋体"/>
      <w:sz w:val="24"/>
      <w:szCs w:val="24"/>
    </w:rPr>
  </w:style>
  <w:style w:type="character" w:customStyle="1" w:styleId="21">
    <w:name w:val="页脚 字符"/>
    <w:link w:val="4"/>
    <w:qFormat/>
    <w:uiPriority w:val="99"/>
    <w:rPr>
      <w:sz w:val="18"/>
      <w:szCs w:val="18"/>
    </w:r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customXml" Target="../customXml/item1.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Company>微软中国</Company>
  <Pages>1</Pages>
  <Words>2818</Words>
  <Characters>16066</Characters>
  <Lines>133</Lines>
  <Paragraphs>37</Paragraphs>
  <TotalTime>0</TotalTime>
  <ScaleCrop>false</ScaleCrop>
  <LinksUpToDate>false</LinksUpToDate>
  <CharactersWithSpaces>18847</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2022-01-07T08:50:00Z</dcterms:created>
  <dc:creator>陈浩01</dc:creator>
  <cp:lastModifiedBy>admin</cp:lastModifiedBy>
  <cp:lastPrinted>2022-01-07T07:48:00Z</cp:lastPrinted>
  <dcterms:modified xsi:type="dcterms:W3CDTF">2024-06-21T07:04:14Z</dcterms:modified>
  <dc:title>温州银行“金鹿理财-温盈”1号银行理财计划风险揭示书</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E3F1EB67EA774718B453AA5B9B33BAA8</vt:lpwstr>
  </property>
</Properties>
</file>