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rPr>
        <w:t>温盈”20001号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rPr>
        <w:t>第10期182天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rPr>
              <w:t>20001号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rPr>
              <w:t>2001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kern w:val="0"/>
                <w:sz w:val="18"/>
                <w:szCs w:val="18"/>
              </w:rPr>
              <w:t>第10期</w:t>
            </w:r>
            <w:r>
              <w:rPr>
                <w:rFonts w:hint="eastAsia" w:ascii="宋体" w:hAnsi="宋体" w:eastAsia="宋体" w:cs="宋体"/>
                <w:color w:val="000000"/>
                <w:kern w:val="0"/>
                <w:sz w:val="18"/>
                <w:szCs w:val="18"/>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2.8</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rPr>
              <w:t>2.95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rPr>
              <w:t>10</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rPr>
              <w:t>16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rPr>
              <w:t>7</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rPr>
              <w:t>17</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2025年1月8日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rPr>
              <w:t>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rPr>
              <w:t>14</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温盈”20001号开放式净值型银行理财计划风险揭示书》、《温州银行“金鹿理财-温盈”20001号开放式净值型银行理财计划产品说明书》、《温州银行“金鹿理财-温盈”20001号开放式净值型（第10期182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JgMulsk6rn9vHs8alQnEk8Fzp/E=" w:salt="sGwaA5OTBrz9TFFeC/79G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7970123"/>
    <w:rsid w:val="0A20556D"/>
    <w:rsid w:val="12A31BE1"/>
    <w:rsid w:val="13DF7FFC"/>
    <w:rsid w:val="14F066A3"/>
    <w:rsid w:val="1AD34940"/>
    <w:rsid w:val="235C0465"/>
    <w:rsid w:val="2FF22A7E"/>
    <w:rsid w:val="3BEF0754"/>
    <w:rsid w:val="40030D29"/>
    <w:rsid w:val="4A122D83"/>
    <w:rsid w:val="4FE04351"/>
    <w:rsid w:val="511E88BC"/>
    <w:rsid w:val="5C8B7A1F"/>
    <w:rsid w:val="6B062C6D"/>
    <w:rsid w:val="6D6E58D1"/>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162</Words>
  <Characters>924</Characters>
  <Lines>7</Lines>
  <Paragraphs>2</Paragraphs>
  <TotalTime>22</TotalTime>
  <ScaleCrop>false</ScaleCrop>
  <LinksUpToDate>false</LinksUpToDate>
  <CharactersWithSpaces>1084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2024-07-05T02:11:08Z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