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lang w:val="en-US" w:eastAsia="zh-CN"/>
        </w:rPr>
        <w:t>24018</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lang w:val="en-US" w:eastAsia="zh-CN"/>
        </w:rPr>
        <w:t>24018</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color w:val="000000"/>
          <w:szCs w:val="21"/>
          <w:u w:val="single"/>
          <w:lang w:val="en-US" w:eastAsia="zh-CN"/>
        </w:rPr>
        <w:t>24018</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color w:val="000000"/>
          <w:szCs w:val="21"/>
          <w:u w:val="single"/>
          <w:lang w:val="en-US" w:eastAsia="zh-CN"/>
        </w:rPr>
        <w:t>24018</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lang w:val="en-US" w:eastAsia="zh-CN"/>
        </w:rPr>
        <w:t>24018</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bidi w:val="0"/>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普惠季享”24018号（共同富裕特别款）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w:t>
            </w:r>
            <w:r>
              <w:rPr>
                <w:rFonts w:hint="eastAsia"/>
                <w:sz w:val="18"/>
                <w:szCs w:val="18"/>
                <w:lang w:eastAsia="zh-CN"/>
              </w:rPr>
              <w:t>季享”2401</w:t>
            </w:r>
            <w:r>
              <w:rPr>
                <w:rFonts w:hint="eastAsia"/>
                <w:sz w:val="18"/>
                <w:szCs w:val="18"/>
                <w:lang w:val="en-US" w:eastAsia="zh-CN"/>
              </w:rPr>
              <w:t>8</w:t>
            </w:r>
            <w:r>
              <w:rPr>
                <w:rFonts w:hint="eastAsia"/>
                <w:sz w:val="18"/>
                <w:szCs w:val="18"/>
                <w:lang w:eastAsia="zh-CN"/>
              </w:rPr>
              <w:t>号（共同富裕特别款）</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JX2418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rPr>
              <w:t>C10922240000</w:t>
            </w:r>
            <w:r>
              <w:rPr>
                <w:rFonts w:hint="eastAsia"/>
                <w:sz w:val="18"/>
                <w:szCs w:val="18"/>
                <w:lang w:val="en-US" w:eastAsia="zh-CN"/>
              </w:rPr>
              <w:t>18</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u w:val="single"/>
                <w:lang w:val="en-US" w:eastAsia="zh-CN"/>
              </w:rPr>
              <w:t>2024年8月22日</w:t>
            </w:r>
            <w:r>
              <w:rPr>
                <w:rFonts w:hint="eastAsia"/>
                <w:sz w:val="18"/>
                <w:u w:val="single"/>
              </w:rPr>
              <w:t>至</w:t>
            </w:r>
            <w:r>
              <w:rPr>
                <w:rFonts w:hint="eastAsia"/>
                <w:sz w:val="18"/>
                <w:u w:val="single"/>
                <w:lang w:val="en-US" w:eastAsia="zh-CN"/>
              </w:rPr>
              <w:t>2024年8月28日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szCs w:val="18"/>
                <w:u w:val="single"/>
                <w:lang w:val="en-US" w:eastAsia="zh-CN"/>
              </w:rPr>
              <w:t>2024年8月29日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sz w:val="18"/>
                <w:szCs w:val="24"/>
                <w:u w:val="single"/>
                <w:lang w:val="en-US" w:eastAsia="zh-CN"/>
              </w:rPr>
              <w:t>2024年12月26日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2.75%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sz w:val="18"/>
          <w:szCs w:val="18"/>
          <w:lang w:eastAsia="zh-CN"/>
        </w:rPr>
        <w:t>2.75%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本产品认购期为</w:t>
      </w:r>
      <w:r>
        <w:rPr>
          <w:rFonts w:hint="eastAsia"/>
          <w:sz w:val="18"/>
          <w:szCs w:val="18"/>
          <w:lang w:val="en-US" w:eastAsia="zh-CN"/>
        </w:rPr>
        <w:t>2024年8月22日</w:t>
      </w:r>
      <w:r>
        <w:rPr>
          <w:rFonts w:hint="eastAsia"/>
          <w:sz w:val="18"/>
        </w:rPr>
        <w:t>至</w:t>
      </w:r>
      <w:r>
        <w:rPr>
          <w:rFonts w:hint="eastAsia"/>
          <w:sz w:val="18"/>
          <w:lang w:val="en-US" w:eastAsia="zh-CN"/>
        </w:rPr>
        <w:t>2024年8月28日</w:t>
      </w:r>
      <w:r>
        <w:rPr>
          <w:rFonts w:hint="eastAsia"/>
          <w:sz w:val="18"/>
          <w:szCs w:val="18"/>
        </w:rPr>
        <w:t>，认购份额=认购金额÷1元</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szCs w:val="18"/>
          <w:lang w:val="en-US" w:eastAsia="zh-CN"/>
        </w:rPr>
        <w:t>2024年12月26日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119</w:t>
      </w:r>
      <w:r>
        <w:rPr>
          <w:rFonts w:hint="eastAsia"/>
          <w:sz w:val="18"/>
          <w:szCs w:val="18"/>
        </w:rPr>
        <w:t>天。假设产品业绩比较基准为</w:t>
      </w:r>
      <w:r>
        <w:rPr>
          <w:rFonts w:hint="eastAsia"/>
          <w:sz w:val="18"/>
          <w:szCs w:val="18"/>
          <w:lang w:eastAsia="zh-CN"/>
        </w:rPr>
        <w:t>2.75%</w:t>
      </w:r>
      <w:r>
        <w:rPr>
          <w:rFonts w:hint="eastAsia"/>
          <w:sz w:val="18"/>
          <w:szCs w:val="18"/>
        </w:rPr>
        <w:t>。到期时扣除托管费、销售服务费、固定管理费及其他费用（如有）后，如产品净值为1.01</w:t>
      </w:r>
      <w:r>
        <w:rPr>
          <w:rFonts w:hint="eastAsia"/>
          <w:sz w:val="18"/>
          <w:szCs w:val="18"/>
          <w:lang w:val="en-US" w:eastAsia="zh-CN"/>
        </w:rPr>
        <w:t>1</w:t>
      </w:r>
      <w:r>
        <w:rPr>
          <w:rFonts w:hint="eastAsia"/>
          <w:sz w:val="18"/>
          <w:szCs w:val="18"/>
        </w:rPr>
        <w:t>，此时，(1.01</w:t>
      </w:r>
      <w:r>
        <w:rPr>
          <w:rFonts w:hint="eastAsia"/>
          <w:sz w:val="18"/>
          <w:szCs w:val="18"/>
          <w:lang w:val="en-US" w:eastAsia="zh-CN"/>
        </w:rPr>
        <w:t>1</w:t>
      </w:r>
      <w:r>
        <w:rPr>
          <w:rFonts w:hint="eastAsia"/>
          <w:sz w:val="18"/>
          <w:szCs w:val="18"/>
        </w:rPr>
        <w:t>/1.00-1)×365/</w:t>
      </w:r>
      <w:r>
        <w:rPr>
          <w:rFonts w:hint="eastAsia"/>
          <w:sz w:val="18"/>
          <w:szCs w:val="18"/>
          <w:lang w:eastAsia="zh-CN"/>
        </w:rPr>
        <w:t>119</w:t>
      </w:r>
      <w:r>
        <w:rPr>
          <w:rFonts w:hint="eastAsia"/>
          <w:sz w:val="18"/>
          <w:szCs w:val="18"/>
        </w:rPr>
        <w:t>=</w:t>
      </w:r>
      <w:r>
        <w:rPr>
          <w:rFonts w:hint="eastAsia"/>
          <w:sz w:val="18"/>
          <w:szCs w:val="18"/>
          <w:lang w:val="en-US" w:eastAsia="zh-CN"/>
        </w:rPr>
        <w:t>3.37</w:t>
      </w:r>
      <w:r>
        <w:rPr>
          <w:rFonts w:hint="eastAsia"/>
          <w:sz w:val="18"/>
          <w:szCs w:val="18"/>
        </w:rPr>
        <w:t>%&gt;</w:t>
      </w:r>
      <w:r>
        <w:rPr>
          <w:rFonts w:hint="eastAsia"/>
          <w:sz w:val="18"/>
          <w:szCs w:val="18"/>
          <w:lang w:eastAsia="zh-CN"/>
        </w:rPr>
        <w:t>2.75%</w:t>
      </w:r>
      <w:r>
        <w:rPr>
          <w:rFonts w:hint="eastAsia"/>
          <w:sz w:val="18"/>
          <w:szCs w:val="18"/>
        </w:rPr>
        <w:t>，即投资收益超越业绩比较基准，则投资管理人对超过业绩比较基准部分收益收取浮动管理费，浮动管理费为：1,000,000.00×[</w:t>
      </w:r>
      <w:r>
        <w:rPr>
          <w:rFonts w:hint="eastAsia"/>
          <w:sz w:val="18"/>
          <w:szCs w:val="18"/>
          <w:lang w:eastAsia="zh-CN"/>
        </w:rPr>
        <w:t>1.011</w:t>
      </w:r>
      <w:r>
        <w:rPr>
          <w:rFonts w:hint="eastAsia"/>
          <w:sz w:val="18"/>
          <w:szCs w:val="18"/>
        </w:rPr>
        <w:t>-1.00×(1+</w:t>
      </w:r>
      <w:r>
        <w:rPr>
          <w:rFonts w:hint="eastAsia"/>
          <w:sz w:val="18"/>
          <w:szCs w:val="18"/>
          <w:lang w:eastAsia="zh-CN"/>
        </w:rPr>
        <w:t>2.75%</w:t>
      </w:r>
      <w:r>
        <w:rPr>
          <w:rFonts w:hint="eastAsia"/>
          <w:sz w:val="18"/>
          <w:szCs w:val="18"/>
        </w:rPr>
        <w:t>×</w:t>
      </w:r>
      <w:r>
        <w:rPr>
          <w:rFonts w:hint="eastAsia"/>
          <w:sz w:val="18"/>
          <w:szCs w:val="18"/>
          <w:lang w:eastAsia="zh-CN"/>
        </w:rPr>
        <w:t>119</w:t>
      </w:r>
      <w:r>
        <w:rPr>
          <w:rFonts w:hint="eastAsia"/>
          <w:sz w:val="18"/>
          <w:szCs w:val="18"/>
        </w:rPr>
        <w:t>/365)]×80%=</w:t>
      </w:r>
      <w:r>
        <w:rPr>
          <w:rFonts w:hint="eastAsia"/>
          <w:sz w:val="18"/>
          <w:szCs w:val="18"/>
          <w:lang w:eastAsia="zh-CN"/>
        </w:rPr>
        <w:t>1627.40</w:t>
      </w:r>
      <w:r>
        <w:rPr>
          <w:rFonts w:hint="eastAsia"/>
          <w:sz w:val="18"/>
          <w:szCs w:val="18"/>
        </w:rPr>
        <w:t>（元）。扣除浮动管理费后，客户最终收益为：1,000,000.00×（</w:t>
      </w:r>
      <w:r>
        <w:rPr>
          <w:rFonts w:hint="eastAsia"/>
          <w:sz w:val="18"/>
          <w:szCs w:val="18"/>
          <w:lang w:eastAsia="zh-CN"/>
        </w:rPr>
        <w:t>1.011</w:t>
      </w:r>
      <w:r>
        <w:rPr>
          <w:rFonts w:hint="eastAsia"/>
          <w:sz w:val="18"/>
          <w:szCs w:val="18"/>
        </w:rPr>
        <w:t>-1.00）-</w:t>
      </w:r>
      <w:r>
        <w:rPr>
          <w:rFonts w:hint="eastAsia"/>
          <w:sz w:val="18"/>
          <w:szCs w:val="18"/>
          <w:lang w:eastAsia="zh-CN"/>
        </w:rPr>
        <w:t>1627.40</w:t>
      </w:r>
      <w:r>
        <w:rPr>
          <w:rFonts w:hint="eastAsia"/>
          <w:sz w:val="18"/>
          <w:szCs w:val="18"/>
        </w:rPr>
        <w:t>=</w:t>
      </w:r>
      <w:r>
        <w:rPr>
          <w:rFonts w:hint="eastAsia"/>
          <w:sz w:val="18"/>
          <w:szCs w:val="18"/>
          <w:lang w:eastAsia="zh-CN"/>
        </w:rPr>
        <w:t>9372.60</w:t>
      </w:r>
      <w:r>
        <w:rPr>
          <w:rFonts w:hint="eastAsia"/>
          <w:sz w:val="18"/>
          <w:szCs w:val="18"/>
        </w:rPr>
        <w:t>（元），产品到期时，客户获得的实际收益相当于达到年化收益率水平为：</w:t>
      </w:r>
      <w:r>
        <w:rPr>
          <w:rFonts w:hint="eastAsia"/>
          <w:sz w:val="18"/>
          <w:szCs w:val="18"/>
          <w:lang w:eastAsia="zh-CN"/>
        </w:rPr>
        <w:t>9372.60</w:t>
      </w:r>
      <w:r>
        <w:rPr>
          <w:rFonts w:hint="eastAsia"/>
          <w:sz w:val="18"/>
          <w:szCs w:val="18"/>
        </w:rPr>
        <w:t>/1,000,000.00×365/</w:t>
      </w:r>
      <w:r>
        <w:rPr>
          <w:rFonts w:hint="eastAsia"/>
          <w:sz w:val="18"/>
          <w:szCs w:val="18"/>
          <w:lang w:eastAsia="zh-CN"/>
        </w:rPr>
        <w:t>119</w:t>
      </w:r>
      <w:r>
        <w:rPr>
          <w:rFonts w:hint="eastAsia"/>
          <w:sz w:val="18"/>
          <w:szCs w:val="18"/>
        </w:rPr>
        <w:t>=</w:t>
      </w:r>
      <w:r>
        <w:rPr>
          <w:rFonts w:hint="eastAsia"/>
          <w:sz w:val="18"/>
          <w:szCs w:val="18"/>
          <w:lang w:val="en-US" w:eastAsia="zh-CN"/>
        </w:rPr>
        <w:t>2.87</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119</w:t>
      </w:r>
      <w:r>
        <w:rPr>
          <w:rFonts w:hint="eastAsia"/>
          <w:sz w:val="18"/>
          <w:szCs w:val="18"/>
        </w:rPr>
        <w:t>天。假设产品业绩比较基准为</w:t>
      </w:r>
      <w:r>
        <w:rPr>
          <w:rFonts w:hint="eastAsia"/>
          <w:sz w:val="18"/>
          <w:szCs w:val="18"/>
          <w:lang w:eastAsia="zh-CN"/>
        </w:rPr>
        <w:t>2.75%</w:t>
      </w:r>
      <w:r>
        <w:rPr>
          <w:rFonts w:hint="eastAsia"/>
          <w:sz w:val="18"/>
          <w:szCs w:val="18"/>
        </w:rPr>
        <w:t>。到期时扣除托管费、销售服务费、固定管理费及其他费用（如有）后，如产品净值为1.0</w:t>
      </w:r>
      <w:r>
        <w:rPr>
          <w:rFonts w:hint="eastAsia"/>
          <w:sz w:val="18"/>
          <w:szCs w:val="18"/>
          <w:lang w:val="en-US" w:eastAsia="zh-CN"/>
        </w:rPr>
        <w:t>08</w:t>
      </w:r>
      <w:r>
        <w:rPr>
          <w:rFonts w:hint="eastAsia"/>
          <w:sz w:val="18"/>
          <w:szCs w:val="18"/>
        </w:rPr>
        <w:t>，此时，(1.0</w:t>
      </w:r>
      <w:r>
        <w:rPr>
          <w:rFonts w:hint="eastAsia"/>
          <w:sz w:val="18"/>
          <w:szCs w:val="18"/>
          <w:lang w:val="en-US" w:eastAsia="zh-CN"/>
        </w:rPr>
        <w:t>08</w:t>
      </w:r>
      <w:r>
        <w:rPr>
          <w:rFonts w:hint="eastAsia"/>
          <w:sz w:val="18"/>
          <w:szCs w:val="18"/>
        </w:rPr>
        <w:t>/1.00-1)×365/</w:t>
      </w:r>
      <w:r>
        <w:rPr>
          <w:rFonts w:hint="eastAsia"/>
          <w:sz w:val="18"/>
          <w:szCs w:val="18"/>
          <w:lang w:eastAsia="zh-CN"/>
        </w:rPr>
        <w:t>119</w:t>
      </w:r>
      <w:r>
        <w:rPr>
          <w:rFonts w:hint="eastAsia"/>
          <w:sz w:val="18"/>
          <w:szCs w:val="18"/>
        </w:rPr>
        <w:t>=</w:t>
      </w:r>
      <w:r>
        <w:rPr>
          <w:rFonts w:hint="eastAsia"/>
          <w:sz w:val="18"/>
          <w:szCs w:val="18"/>
          <w:lang w:val="en-US" w:eastAsia="zh-CN"/>
        </w:rPr>
        <w:t>2.45</w:t>
      </w:r>
      <w:r>
        <w:rPr>
          <w:rFonts w:hint="eastAsia"/>
          <w:sz w:val="18"/>
          <w:szCs w:val="18"/>
        </w:rPr>
        <w:t>%&lt;</w:t>
      </w:r>
      <w:r>
        <w:rPr>
          <w:rFonts w:hint="eastAsia"/>
          <w:sz w:val="18"/>
          <w:szCs w:val="18"/>
          <w:lang w:eastAsia="zh-CN"/>
        </w:rPr>
        <w:t>2.75%</w:t>
      </w:r>
      <w:r>
        <w:rPr>
          <w:rFonts w:hint="eastAsia"/>
          <w:sz w:val="18"/>
          <w:szCs w:val="18"/>
        </w:rPr>
        <w:t>，即投资收益未达到业绩比较基准，则投资管理人不收取浮动管理费，客户最终收益为：1,000,000.00×(1.0</w:t>
      </w:r>
      <w:r>
        <w:rPr>
          <w:rFonts w:hint="eastAsia"/>
          <w:sz w:val="18"/>
          <w:szCs w:val="18"/>
          <w:lang w:val="en-US" w:eastAsia="zh-CN"/>
        </w:rPr>
        <w:t>08</w:t>
      </w:r>
      <w:r>
        <w:rPr>
          <w:rFonts w:hint="eastAsia"/>
          <w:sz w:val="18"/>
          <w:szCs w:val="18"/>
        </w:rPr>
        <w:t>-1.00）=</w:t>
      </w:r>
      <w:r>
        <w:rPr>
          <w:rFonts w:hint="eastAsia"/>
          <w:sz w:val="18"/>
          <w:szCs w:val="18"/>
          <w:lang w:val="en-US" w:eastAsia="zh-CN"/>
        </w:rPr>
        <w:t>8</w:t>
      </w:r>
      <w:r>
        <w:rPr>
          <w:rFonts w:hint="eastAsia"/>
          <w:sz w:val="18"/>
          <w:szCs w:val="18"/>
        </w:rPr>
        <w:t>000（元）。</w:t>
      </w:r>
    </w:p>
    <w:p>
      <w:pPr>
        <w:adjustRightInd w:val="0"/>
        <w:snapToGrid w:val="0"/>
        <w:spacing w:line="286" w:lineRule="auto"/>
        <w:rPr>
          <w:sz w:val="18"/>
          <w:szCs w:val="18"/>
        </w:rPr>
      </w:pPr>
      <w:r>
        <w:rPr>
          <w:rFonts w:hint="eastAsia"/>
          <w:sz w:val="18"/>
          <w:szCs w:val="18"/>
        </w:rPr>
        <w:t>示例三：最不利情况，扣除托管费、销售服务费、固</w:t>
      </w:r>
      <w:bookmarkStart w:id="0" w:name="_GoBack"/>
      <w:bookmarkEnd w:id="0"/>
      <w:r>
        <w:rPr>
          <w:rFonts w:hint="eastAsia"/>
          <w:sz w:val="18"/>
          <w:szCs w:val="18"/>
        </w:rPr>
        <w:t>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119</w:t>
      </w:r>
      <w:r>
        <w:rPr>
          <w:rFonts w:hint="eastAsia"/>
          <w:sz w:val="18"/>
          <w:szCs w:val="18"/>
        </w:rPr>
        <w:t>天。假设产品业绩比较基准为</w:t>
      </w:r>
      <w:r>
        <w:rPr>
          <w:rFonts w:hint="eastAsia"/>
          <w:sz w:val="18"/>
          <w:szCs w:val="18"/>
          <w:lang w:eastAsia="zh-CN"/>
        </w:rPr>
        <w:t>2.75%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普惠季享”24018号（共同富裕特别款）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3C64591"/>
    <w:rsid w:val="03E90339"/>
    <w:rsid w:val="05256D34"/>
    <w:rsid w:val="06ED4D4B"/>
    <w:rsid w:val="06F87141"/>
    <w:rsid w:val="07BB40C7"/>
    <w:rsid w:val="08EF38EC"/>
    <w:rsid w:val="09284DBF"/>
    <w:rsid w:val="09446D7E"/>
    <w:rsid w:val="0A1675AA"/>
    <w:rsid w:val="0AC90772"/>
    <w:rsid w:val="0CFB64F4"/>
    <w:rsid w:val="0EAE5E5E"/>
    <w:rsid w:val="0F4B6711"/>
    <w:rsid w:val="104F44D5"/>
    <w:rsid w:val="109B1F8D"/>
    <w:rsid w:val="10B17669"/>
    <w:rsid w:val="14237D99"/>
    <w:rsid w:val="14C54C98"/>
    <w:rsid w:val="159B127E"/>
    <w:rsid w:val="161D1528"/>
    <w:rsid w:val="165D6CB3"/>
    <w:rsid w:val="17BF4271"/>
    <w:rsid w:val="19E25A8D"/>
    <w:rsid w:val="19EC4338"/>
    <w:rsid w:val="1A5F6148"/>
    <w:rsid w:val="1DBC7AEC"/>
    <w:rsid w:val="1EBD7528"/>
    <w:rsid w:val="20DB6550"/>
    <w:rsid w:val="21E136F4"/>
    <w:rsid w:val="22A04815"/>
    <w:rsid w:val="23535C37"/>
    <w:rsid w:val="25532EA9"/>
    <w:rsid w:val="26531D8B"/>
    <w:rsid w:val="275A751E"/>
    <w:rsid w:val="27BD2B01"/>
    <w:rsid w:val="28076A45"/>
    <w:rsid w:val="2ACF0E36"/>
    <w:rsid w:val="2D1D2B95"/>
    <w:rsid w:val="2E813CB3"/>
    <w:rsid w:val="2F7E1AF7"/>
    <w:rsid w:val="2F862BC5"/>
    <w:rsid w:val="305C00F9"/>
    <w:rsid w:val="313A7139"/>
    <w:rsid w:val="31AC46DA"/>
    <w:rsid w:val="32683389"/>
    <w:rsid w:val="3318043A"/>
    <w:rsid w:val="34F321CC"/>
    <w:rsid w:val="36C936FE"/>
    <w:rsid w:val="38FC2B02"/>
    <w:rsid w:val="39766FF2"/>
    <w:rsid w:val="3A3C4BCB"/>
    <w:rsid w:val="3A9532FB"/>
    <w:rsid w:val="3B57FF03"/>
    <w:rsid w:val="3BBF210A"/>
    <w:rsid w:val="3BFBD5F2"/>
    <w:rsid w:val="3C5B2CDB"/>
    <w:rsid w:val="3D150741"/>
    <w:rsid w:val="3E2566A4"/>
    <w:rsid w:val="3F7E5351"/>
    <w:rsid w:val="4146226E"/>
    <w:rsid w:val="434002F8"/>
    <w:rsid w:val="43712A5A"/>
    <w:rsid w:val="43F4082B"/>
    <w:rsid w:val="4409550D"/>
    <w:rsid w:val="44F32954"/>
    <w:rsid w:val="45926FD8"/>
    <w:rsid w:val="45A13E49"/>
    <w:rsid w:val="462B298E"/>
    <w:rsid w:val="4769700F"/>
    <w:rsid w:val="4E424101"/>
    <w:rsid w:val="4E9D337C"/>
    <w:rsid w:val="4EFE40C2"/>
    <w:rsid w:val="51F53730"/>
    <w:rsid w:val="54133033"/>
    <w:rsid w:val="546F0E0A"/>
    <w:rsid w:val="56865A7D"/>
    <w:rsid w:val="56AB5155"/>
    <w:rsid w:val="57313966"/>
    <w:rsid w:val="58121B96"/>
    <w:rsid w:val="583E376D"/>
    <w:rsid w:val="58E34C34"/>
    <w:rsid w:val="5A4C46D5"/>
    <w:rsid w:val="5A6C6059"/>
    <w:rsid w:val="5D0B2C53"/>
    <w:rsid w:val="5DD76B10"/>
    <w:rsid w:val="5E014390"/>
    <w:rsid w:val="5E3633EC"/>
    <w:rsid w:val="5F4A6202"/>
    <w:rsid w:val="616E34C6"/>
    <w:rsid w:val="61952AC2"/>
    <w:rsid w:val="61E21802"/>
    <w:rsid w:val="623D1E92"/>
    <w:rsid w:val="62715C60"/>
    <w:rsid w:val="627B657A"/>
    <w:rsid w:val="64A6112D"/>
    <w:rsid w:val="64C0477E"/>
    <w:rsid w:val="661104BF"/>
    <w:rsid w:val="699C4EA7"/>
    <w:rsid w:val="6B215482"/>
    <w:rsid w:val="6D15771F"/>
    <w:rsid w:val="6F6944D6"/>
    <w:rsid w:val="718A5772"/>
    <w:rsid w:val="75300C3B"/>
    <w:rsid w:val="76592994"/>
    <w:rsid w:val="772F5857"/>
    <w:rsid w:val="79632EC7"/>
    <w:rsid w:val="7AFF2EFC"/>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2121</Words>
  <Characters>12092</Characters>
  <Lines>100</Lines>
  <Paragraphs>28</Paragraphs>
  <TotalTime>59</TotalTime>
  <ScaleCrop>false</ScaleCrop>
  <LinksUpToDate>false</LinksUpToDate>
  <CharactersWithSpaces>14185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admin</cp:lastModifiedBy>
  <dcterms:modified xsi:type="dcterms:W3CDTF">2024-08-30T02:05:57Z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ies>
</file>