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bookmarkStart w:id="0" w:name="_GoBack"/>
      <w:bookmarkEnd w:id="0"/>
      <w:r>
        <w:rPr>
          <w:rFonts w:hint="eastAsia" w:ascii="黑体" w:eastAsia="黑体"/>
          <w:sz w:val="30"/>
          <w:szCs w:val="30"/>
        </w:rPr>
        <w:t>温州银行“金鹿理财-普惠季享”</w:t>
      </w:r>
      <w:r>
        <w:rPr>
          <w:rFonts w:hint="eastAsia" w:ascii="黑体" w:eastAsia="黑体"/>
          <w:sz w:val="30"/>
          <w:szCs w:val="30"/>
          <w:u w:val="single"/>
          <w:lang w:val="en-US" w:eastAsia="zh-CN"/>
        </w:rPr>
        <w:t>24020</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您将认购的温州银行“金鹿理财</w:t>
      </w:r>
      <w:r>
        <w:rPr>
          <w:rFonts w:hint="eastAsia" w:ascii="宋体" w:hAnsi="宋体"/>
          <w:szCs w:val="21"/>
        </w:rPr>
        <w:t>-</w:t>
      </w:r>
      <w:r>
        <w:rPr>
          <w:rFonts w:hint="eastAsia"/>
          <w:szCs w:val="21"/>
        </w:rPr>
        <w:t>普惠季享”</w:t>
      </w:r>
      <w:r>
        <w:rPr>
          <w:rFonts w:hint="eastAsia"/>
          <w:szCs w:val="21"/>
          <w:u w:val="single"/>
          <w:lang w:val="en-US" w:eastAsia="zh-CN"/>
        </w:rPr>
        <w:t>24020</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三、本风险揭示书及《温州银行“金鹿理财-普惠季享”</w:t>
      </w:r>
      <w:r>
        <w:rPr>
          <w:rFonts w:hint="eastAsia" w:ascii="宋体"/>
          <w:szCs w:val="21"/>
          <w:u w:val="single"/>
          <w:lang w:val="en-US" w:eastAsia="zh-CN"/>
        </w:rPr>
        <w:t>24020</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季享”</w:t>
      </w:r>
      <w:r>
        <w:rPr>
          <w:rFonts w:hint="eastAsia" w:ascii="宋体"/>
          <w:szCs w:val="21"/>
          <w:u w:val="single"/>
          <w:lang w:val="en-US" w:eastAsia="zh-CN"/>
        </w:rPr>
        <w:t>24020</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温州银行“金鹿理财-普惠季享”</w:t>
      </w:r>
      <w:r>
        <w:rPr>
          <w:rFonts w:hint="eastAsia" w:ascii="黑体" w:eastAsia="黑体"/>
          <w:sz w:val="30"/>
          <w:szCs w:val="30"/>
          <w:u w:val="single"/>
          <w:lang w:val="en-US" w:eastAsia="zh-CN"/>
        </w:rPr>
        <w:t>24020</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季享”24020号（稳健低波款）</w:t>
      </w:r>
      <w:r>
        <w:rPr>
          <w:rFonts w:hint="eastAsia"/>
          <w:sz w:val="18"/>
          <w:szCs w:val="18"/>
        </w:rPr>
        <w:t>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rPr>
              <w:t>金鹿理财</w:t>
            </w:r>
            <w:r>
              <w:rPr>
                <w:sz w:val="18"/>
                <w:szCs w:val="18"/>
              </w:rPr>
              <w:t>-</w:t>
            </w:r>
            <w:r>
              <w:rPr>
                <w:rFonts w:hint="eastAsia"/>
                <w:sz w:val="18"/>
                <w:szCs w:val="18"/>
              </w:rPr>
              <w:t>普惠季享</w:t>
            </w:r>
            <w:r>
              <w:rPr>
                <w:sz w:val="18"/>
                <w:szCs w:val="18"/>
              </w:rPr>
              <w:t>”</w:t>
            </w:r>
            <w:r>
              <w:rPr>
                <w:rFonts w:hint="eastAsia"/>
                <w:sz w:val="18"/>
                <w:szCs w:val="18"/>
                <w:u w:val="single"/>
                <w:lang w:val="en-US" w:eastAsia="zh-CN"/>
              </w:rPr>
              <w:t>24020</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szCs w:val="18"/>
                <w:lang w:val="en-US" w:eastAsia="zh-CN"/>
              </w:rPr>
              <w:t>JW2420</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eastAsia" w:eastAsia="宋体"/>
                <w:sz w:val="18"/>
                <w:szCs w:val="18"/>
                <w:lang w:val="en-US" w:eastAsia="zh-CN"/>
              </w:rPr>
            </w:pPr>
            <w:r>
              <w:rPr>
                <w:rFonts w:hint="eastAsia"/>
                <w:sz w:val="18"/>
                <w:szCs w:val="18"/>
              </w:rPr>
              <w:t>C109222400004</w:t>
            </w:r>
            <w:r>
              <w:rPr>
                <w:rFonts w:hint="eastAsia"/>
                <w:sz w:val="18"/>
                <w:szCs w:val="18"/>
                <w:lang w:val="en-US" w:eastAsia="zh-CN"/>
              </w:rPr>
              <w:t>7</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u w:val="single"/>
                <w:lang w:val="en-US" w:eastAsia="zh-CN"/>
              </w:rPr>
            </w:pPr>
            <w:r>
              <w:rPr>
                <w:rFonts w:hint="eastAsia"/>
                <w:sz w:val="18"/>
                <w:u w:val="single"/>
                <w:lang w:val="en-US" w:eastAsia="zh-CN"/>
              </w:rPr>
              <w:t>2024年9月30日</w:t>
            </w:r>
            <w:r>
              <w:rPr>
                <w:rFonts w:hint="eastAsia"/>
                <w:sz w:val="18"/>
                <w:u w:val="single"/>
              </w:rPr>
              <w:t>至</w:t>
            </w:r>
            <w:r>
              <w:rPr>
                <w:rFonts w:hint="eastAsia"/>
                <w:sz w:val="18"/>
                <w:u w:val="single"/>
                <w:lang w:val="en-US" w:eastAsia="zh-CN"/>
              </w:rPr>
              <w:t>2024年10月9日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18"/>
                <w:lang w:val="en-US" w:eastAsia="zh-CN"/>
              </w:rPr>
            </w:pPr>
            <w:r>
              <w:rPr>
                <w:rFonts w:hint="eastAsia"/>
                <w:sz w:val="18"/>
                <w:u w:val="single"/>
                <w:lang w:val="en-US" w:eastAsia="zh-CN"/>
              </w:rPr>
              <w:t>2024年10月10日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rFonts w:hint="default" w:eastAsia="宋体"/>
                <w:sz w:val="18"/>
                <w:szCs w:val="24"/>
                <w:u w:val="single"/>
                <w:lang w:val="en-US" w:eastAsia="zh-CN"/>
              </w:rPr>
            </w:pPr>
            <w:r>
              <w:rPr>
                <w:rFonts w:hint="eastAsia"/>
                <w:sz w:val="18"/>
                <w:u w:val="single"/>
                <w:lang w:val="en-US" w:eastAsia="zh-CN"/>
              </w:rPr>
              <w:t>2025年11月13日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lang w:val="en-US" w:eastAsia="zh-CN"/>
              </w:rPr>
              <w:t>3.05%</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包括但不限于银行间市场和证券交易所市场债权性资产、非标准化债权资产、公募基金、资产管理计划、信托计划、各类受（收）益权、资产支持证券、票据资产、债券型基金、股票型基金、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权益类资产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股票型基金、证券投资基金</w:t>
            </w:r>
            <w:r>
              <w:rPr>
                <w:rFonts w:hint="eastAsia"/>
                <w:sz w:val="18"/>
                <w:szCs w:val="18"/>
              </w:rPr>
              <w:t>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本产品业绩比较基准为</w:t>
      </w:r>
      <w:r>
        <w:rPr>
          <w:rFonts w:hint="eastAsia"/>
          <w:sz w:val="18"/>
          <w:szCs w:val="18"/>
          <w:lang w:val="en-US" w:eastAsia="zh-CN"/>
        </w:rPr>
        <w:t>3.05%</w:t>
      </w:r>
      <w:r>
        <w:rPr>
          <w:rFonts w:hint="eastAsia"/>
          <w:sz w:val="18"/>
          <w:szCs w:val="18"/>
        </w:rPr>
        <w:t>（年化）。本产品业绩比较基准仅作为计提产品浮动管理费的依据，不构成温州银行对该理财产品的任何收益承诺。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sz w:val="18"/>
          <w:lang w:val="en-US" w:eastAsia="zh-CN"/>
        </w:rPr>
        <w:t>2025年11月13日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val="en-US"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。到期时扣除托管费、销售服务费、固定管理费及其他费用（如有）后，如产品净值为1.04，此时， (1.04/1.00-1)×365/</w:t>
      </w:r>
      <w:r>
        <w:rPr>
          <w:rFonts w:hint="eastAsia"/>
          <w:sz w:val="18"/>
          <w:szCs w:val="18"/>
          <w:lang w:eastAsia="zh-CN"/>
        </w:rPr>
        <w:t>399</w:t>
      </w:r>
      <w:r>
        <w:rPr>
          <w:rFonts w:hint="eastAsia"/>
          <w:sz w:val="18"/>
          <w:szCs w:val="18"/>
        </w:rPr>
        <w:t>=3.</w:t>
      </w:r>
      <w:r>
        <w:rPr>
          <w:rFonts w:hint="eastAsia"/>
          <w:sz w:val="18"/>
          <w:szCs w:val="18"/>
          <w:lang w:val="en-US" w:eastAsia="zh-CN"/>
        </w:rPr>
        <w:t>66</w:t>
      </w:r>
      <w:r>
        <w:rPr>
          <w:rFonts w:hint="eastAsia"/>
          <w:sz w:val="18"/>
          <w:szCs w:val="18"/>
        </w:rPr>
        <w:t>%&gt;</w:t>
      </w:r>
      <w:r>
        <w:rPr>
          <w:rFonts w:hint="eastAsia"/>
          <w:sz w:val="18"/>
          <w:szCs w:val="18"/>
          <w:lang w:eastAsia="zh-CN"/>
        </w:rPr>
        <w:t>3.05%</w:t>
      </w:r>
      <w:r>
        <w:rPr>
          <w:rFonts w:hint="eastAsia"/>
          <w:sz w:val="18"/>
          <w:szCs w:val="18"/>
        </w:rPr>
        <w:t>，即投资收益超越业绩比较基准，则投资管理人对超过业绩比较基准部分收益收取浮动管理费，浮动管理费为：1,000,000.00×[1.04-1.00×(1+</w:t>
      </w:r>
      <w:r>
        <w:rPr>
          <w:rFonts w:hint="eastAsia"/>
          <w:sz w:val="18"/>
          <w:szCs w:val="18"/>
          <w:lang w:eastAsia="zh-CN"/>
        </w:rPr>
        <w:t>3.05%</w:t>
      </w:r>
      <w:r>
        <w:rPr>
          <w:rFonts w:hint="eastAsia"/>
          <w:sz w:val="18"/>
          <w:szCs w:val="18"/>
        </w:rPr>
        <w:t>×</w:t>
      </w:r>
      <w:r>
        <w:rPr>
          <w:rFonts w:hint="eastAsia"/>
          <w:sz w:val="18"/>
          <w:szCs w:val="18"/>
          <w:lang w:eastAsia="zh-CN"/>
        </w:rPr>
        <w:t>399</w:t>
      </w:r>
      <w:r>
        <w:rPr>
          <w:rFonts w:hint="eastAsia"/>
          <w:sz w:val="18"/>
          <w:szCs w:val="18"/>
        </w:rPr>
        <w:t>/365)]×80%=</w:t>
      </w:r>
      <w:r>
        <w:rPr>
          <w:rFonts w:hint="eastAsia"/>
          <w:sz w:val="18"/>
          <w:szCs w:val="18"/>
          <w:lang w:eastAsia="zh-CN"/>
        </w:rPr>
        <w:t>5327.12</w:t>
      </w:r>
      <w:r>
        <w:rPr>
          <w:rFonts w:hint="eastAsia"/>
          <w:sz w:val="18"/>
          <w:szCs w:val="18"/>
        </w:rPr>
        <w:t>（元）。扣除浮动管理费后，客户最终收益为：1,000,000.00×（1.04-1.00）-</w:t>
      </w:r>
      <w:r>
        <w:rPr>
          <w:rFonts w:hint="eastAsia"/>
          <w:sz w:val="18"/>
          <w:szCs w:val="18"/>
          <w:lang w:eastAsia="zh-CN"/>
        </w:rPr>
        <w:t>5327.12</w:t>
      </w:r>
      <w:r>
        <w:rPr>
          <w:rFonts w:hint="eastAsia"/>
          <w:sz w:val="18"/>
          <w:szCs w:val="18"/>
        </w:rPr>
        <w:t>=</w:t>
      </w:r>
      <w:r>
        <w:rPr>
          <w:rFonts w:hint="eastAsia"/>
          <w:sz w:val="18"/>
          <w:szCs w:val="18"/>
          <w:lang w:eastAsia="zh-CN"/>
        </w:rPr>
        <w:t>34672.88</w:t>
      </w:r>
      <w:r>
        <w:rPr>
          <w:rFonts w:hint="eastAsia"/>
          <w:sz w:val="18"/>
          <w:szCs w:val="18"/>
        </w:rPr>
        <w:t>（元），产品到期时，客户获得的实际收益相当于达到年化收益率水平为：</w:t>
      </w:r>
      <w:r>
        <w:rPr>
          <w:rFonts w:hint="eastAsia"/>
          <w:sz w:val="18"/>
          <w:szCs w:val="18"/>
          <w:lang w:eastAsia="zh-CN"/>
        </w:rPr>
        <w:t>34672.88</w:t>
      </w:r>
      <w:r>
        <w:rPr>
          <w:rFonts w:hint="eastAsia"/>
          <w:sz w:val="18"/>
          <w:szCs w:val="18"/>
        </w:rPr>
        <w:t>/1,000,000.00×365/</w:t>
      </w:r>
      <w:r>
        <w:rPr>
          <w:rFonts w:hint="eastAsia"/>
          <w:sz w:val="18"/>
          <w:szCs w:val="18"/>
          <w:lang w:eastAsia="zh-CN"/>
        </w:rPr>
        <w:t>399</w:t>
      </w:r>
      <w:r>
        <w:rPr>
          <w:rFonts w:hint="eastAsia"/>
          <w:sz w:val="18"/>
          <w:szCs w:val="18"/>
        </w:rPr>
        <w:t>=</w:t>
      </w:r>
      <w:r>
        <w:rPr>
          <w:rFonts w:hint="eastAsia"/>
          <w:sz w:val="18"/>
          <w:szCs w:val="18"/>
          <w:lang w:val="en-US" w:eastAsia="zh-CN"/>
        </w:rPr>
        <w:t>3.17</w:t>
      </w:r>
      <w:r>
        <w:rPr>
          <w:rFonts w:hint="eastAsia"/>
          <w:sz w:val="18"/>
          <w:szCs w:val="18"/>
        </w:rPr>
        <w:t>%。</w:t>
      </w:r>
    </w:p>
    <w:p>
      <w:pPr>
        <w:adjustRightInd w:val="0"/>
        <w:snapToGrid w:val="0"/>
        <w:spacing w:line="286" w:lineRule="auto"/>
        <w:rPr>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。到期时扣除托管费、销售服务费、固定管理费及其他费用（如有）后，如产品净值为1.03，此时，(1.03/1.00-1)×365/</w:t>
      </w:r>
      <w:r>
        <w:rPr>
          <w:rFonts w:hint="eastAsia"/>
          <w:sz w:val="18"/>
          <w:szCs w:val="18"/>
          <w:lang w:eastAsia="zh-CN"/>
        </w:rPr>
        <w:t>399</w:t>
      </w:r>
      <w:r>
        <w:rPr>
          <w:rFonts w:hint="eastAsia"/>
          <w:sz w:val="18"/>
          <w:szCs w:val="18"/>
        </w:rPr>
        <w:t>=2.</w:t>
      </w:r>
      <w:r>
        <w:rPr>
          <w:rFonts w:hint="eastAsia"/>
          <w:sz w:val="18"/>
          <w:szCs w:val="18"/>
          <w:lang w:val="en-US" w:eastAsia="zh-CN"/>
        </w:rPr>
        <w:t>74</w:t>
      </w:r>
      <w:r>
        <w:rPr>
          <w:rFonts w:hint="eastAsia"/>
          <w:sz w:val="18"/>
          <w:szCs w:val="18"/>
        </w:rPr>
        <w:t>%&lt;</w:t>
      </w:r>
      <w:r>
        <w:rPr>
          <w:rFonts w:hint="eastAsia"/>
          <w:sz w:val="18"/>
          <w:szCs w:val="18"/>
          <w:lang w:eastAsia="zh-CN"/>
        </w:rPr>
        <w:t>3.05%</w:t>
      </w:r>
      <w:r>
        <w:rPr>
          <w:rFonts w:hint="eastAsia"/>
          <w:sz w:val="18"/>
          <w:szCs w:val="18"/>
        </w:rPr>
        <w:t>，即投资收益未达到业绩比较基准，则投资管理人不收取浮动管理费，客户最终收益为：1,000,000.00×(1.03-1.00）=30000（元）。</w:t>
      </w:r>
    </w:p>
    <w:p>
      <w:pPr>
        <w:adjustRightInd w:val="0"/>
        <w:snapToGrid w:val="0"/>
        <w:spacing w:line="286" w:lineRule="auto"/>
        <w:rPr>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sz w:val="18"/>
          <w:szCs w:val="18"/>
        </w:rPr>
      </w:pPr>
      <w:r>
        <w:rPr>
          <w:rFonts w:hint="eastAsia"/>
          <w:sz w:val="18"/>
          <w:szCs w:val="18"/>
        </w:rPr>
        <w:t>以某客户投资100万元为例，购买时产品净值为1.00元，折算份额为1,000,000.00份，理财期限为</w:t>
      </w:r>
      <w:r>
        <w:rPr>
          <w:rFonts w:hint="eastAsia"/>
          <w:sz w:val="18"/>
          <w:szCs w:val="18"/>
          <w:lang w:eastAsia="zh-CN"/>
        </w:rPr>
        <w:t>399</w:t>
      </w:r>
      <w:r>
        <w:rPr>
          <w:rFonts w:hint="eastAsia"/>
          <w:sz w:val="18"/>
          <w:szCs w:val="18"/>
        </w:rPr>
        <w:t>天。假设产品业绩比较基准为</w:t>
      </w:r>
      <w:r>
        <w:rPr>
          <w:rFonts w:hint="eastAsia"/>
          <w:sz w:val="18"/>
          <w:szCs w:val="18"/>
          <w:lang w:eastAsia="zh-CN"/>
        </w:rPr>
        <w:t>3.05%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季享”24020号（稳健低波款）</w:t>
      </w:r>
      <w:r>
        <w:rPr>
          <w:rFonts w:hint="eastAsia"/>
          <w:sz w:val="18"/>
          <w:szCs w:val="18"/>
        </w:rPr>
        <w:t>银行理财计划风险揭示书》、《温州银行“金鹿理财”银行理财计划合约》和《温州银行理财产品投资者权益须知》等销售文件中的内容与本产品说明书不一致的，以本产品说明书约定的内容为准。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dit="readOnly" w:enforcement="1" w:cryptProviderType="rsaFull" w:cryptAlgorithmClass="hash" w:cryptAlgorithmType="typeAny" w:cryptAlgorithmSid="4" w:cryptSpinCount="0" w:hash="FS74qewLeXlhWVz/2+YnLlkoLIg=" w:salt="XtfE4zHOTovZ1VRwT2Vigw=="/>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26F0"/>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104F44D5"/>
    <w:rsid w:val="10B17669"/>
    <w:rsid w:val="12B465CD"/>
    <w:rsid w:val="141472A9"/>
    <w:rsid w:val="14237D99"/>
    <w:rsid w:val="14F07B6A"/>
    <w:rsid w:val="177A7E56"/>
    <w:rsid w:val="17CF37DD"/>
    <w:rsid w:val="17FB0939"/>
    <w:rsid w:val="18377CAF"/>
    <w:rsid w:val="18AD336C"/>
    <w:rsid w:val="191D5323"/>
    <w:rsid w:val="19E25A8D"/>
    <w:rsid w:val="1A5F6148"/>
    <w:rsid w:val="1EBD7528"/>
    <w:rsid w:val="20DB6550"/>
    <w:rsid w:val="21544EC1"/>
    <w:rsid w:val="22A04815"/>
    <w:rsid w:val="22D525BD"/>
    <w:rsid w:val="23535C37"/>
    <w:rsid w:val="2648525A"/>
    <w:rsid w:val="26531D8B"/>
    <w:rsid w:val="268A5E41"/>
    <w:rsid w:val="275A751E"/>
    <w:rsid w:val="277A757E"/>
    <w:rsid w:val="27BD2B01"/>
    <w:rsid w:val="27DE6CFF"/>
    <w:rsid w:val="28076A45"/>
    <w:rsid w:val="28BB6CEA"/>
    <w:rsid w:val="296645C3"/>
    <w:rsid w:val="2ACF0E36"/>
    <w:rsid w:val="2BCE7BF8"/>
    <w:rsid w:val="2CA15A37"/>
    <w:rsid w:val="2D1D2B95"/>
    <w:rsid w:val="2E942C6A"/>
    <w:rsid w:val="2F7E1AF7"/>
    <w:rsid w:val="2F862BC5"/>
    <w:rsid w:val="31177CC3"/>
    <w:rsid w:val="313A7139"/>
    <w:rsid w:val="31AC46DA"/>
    <w:rsid w:val="322778BD"/>
    <w:rsid w:val="32683389"/>
    <w:rsid w:val="3318043A"/>
    <w:rsid w:val="34B828A9"/>
    <w:rsid w:val="34F502A4"/>
    <w:rsid w:val="36C936FE"/>
    <w:rsid w:val="37FBE007"/>
    <w:rsid w:val="39766FF2"/>
    <w:rsid w:val="3A9532FB"/>
    <w:rsid w:val="3BBF210A"/>
    <w:rsid w:val="3C0741A4"/>
    <w:rsid w:val="3D150741"/>
    <w:rsid w:val="3E2566A4"/>
    <w:rsid w:val="3F7E5351"/>
    <w:rsid w:val="3FBD214F"/>
    <w:rsid w:val="411B3554"/>
    <w:rsid w:val="4146226E"/>
    <w:rsid w:val="424649EA"/>
    <w:rsid w:val="43712A5A"/>
    <w:rsid w:val="4409550D"/>
    <w:rsid w:val="45FA54E8"/>
    <w:rsid w:val="462B298E"/>
    <w:rsid w:val="489032CB"/>
    <w:rsid w:val="49303D81"/>
    <w:rsid w:val="4CBDE6D6"/>
    <w:rsid w:val="4D3566E0"/>
    <w:rsid w:val="4EFE40C2"/>
    <w:rsid w:val="4F6568BD"/>
    <w:rsid w:val="54133033"/>
    <w:rsid w:val="546F0E0A"/>
    <w:rsid w:val="56780C89"/>
    <w:rsid w:val="56865A7D"/>
    <w:rsid w:val="56AB5155"/>
    <w:rsid w:val="57313966"/>
    <w:rsid w:val="58A26889"/>
    <w:rsid w:val="5A6C6059"/>
    <w:rsid w:val="5AC90CB7"/>
    <w:rsid w:val="5D0B2C53"/>
    <w:rsid w:val="5D86579B"/>
    <w:rsid w:val="5DCF1CFC"/>
    <w:rsid w:val="5DD76B10"/>
    <w:rsid w:val="5E014390"/>
    <w:rsid w:val="5E777DB5"/>
    <w:rsid w:val="5F4A6202"/>
    <w:rsid w:val="61E21802"/>
    <w:rsid w:val="623D1E92"/>
    <w:rsid w:val="627B657A"/>
    <w:rsid w:val="63F70027"/>
    <w:rsid w:val="6522045B"/>
    <w:rsid w:val="67DC31E6"/>
    <w:rsid w:val="68785140"/>
    <w:rsid w:val="693E0188"/>
    <w:rsid w:val="699C4EA7"/>
    <w:rsid w:val="6D15771F"/>
    <w:rsid w:val="6F291A04"/>
    <w:rsid w:val="703706E8"/>
    <w:rsid w:val="74025CC7"/>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1</Pages>
  <Words>2107</Words>
  <Characters>12010</Characters>
  <Lines>100</Lines>
  <Paragraphs>28</Paragraphs>
  <TotalTime>63</TotalTime>
  <ScaleCrop>false</ScaleCrop>
  <LinksUpToDate>false</LinksUpToDate>
  <CharactersWithSpaces>14089</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admin</cp:lastModifiedBy>
  <dcterms:modified xsi:type="dcterms:W3CDTF">2024-09-20T03:33:10Z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ies>
</file>