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21039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color w:val="000000"/>
          <w:szCs w:val="21"/>
          <w:u w:val="single"/>
          <w:lang w:val="en-US" w:eastAsia="zh-CN"/>
        </w:rPr>
        <w:t>21039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w:t>
      </w:r>
      <w:r>
        <w:rPr>
          <w:rFonts w:hint="eastAsia"/>
          <w:szCs w:val="21"/>
          <w:lang w:eastAsia="zh-CN"/>
        </w:rPr>
        <w:t>颐养”21039号</w:t>
      </w:r>
      <w:r>
        <w:rPr>
          <w:rFonts w:hint="eastAsia"/>
          <w:szCs w:val="21"/>
        </w:rPr>
        <w:t>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颐养”21039号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颐养”21039号</w:t>
      </w:r>
      <w:r>
        <w:rPr>
          <w:rFonts w:hint="eastAsia" w:ascii="宋体" w:hAnsi="宋体"/>
          <w:szCs w:val="21"/>
        </w:rPr>
        <w:t>开放式净值型银行理财计划产品说明书》、《温州银行“金鹿理财-普惠</w:t>
      </w:r>
      <w:r>
        <w:rPr>
          <w:rFonts w:hint="eastAsia" w:ascii="宋体" w:hAnsi="宋体"/>
          <w:szCs w:val="21"/>
          <w:lang w:eastAsia="zh-CN"/>
        </w:rPr>
        <w:t>颐养”21039号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21039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颐养”21039号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color w:val="000000"/>
                <w:sz w:val="18"/>
                <w:szCs w:val="18"/>
                <w:u w:val="single"/>
                <w:lang w:val="en-US" w:eastAsia="zh-CN"/>
              </w:rPr>
              <w:t>21039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eastAsia="宋体"/>
                <w:sz w:val="18"/>
                <w:szCs w:val="18"/>
                <w:lang w:eastAsia="zh-CN"/>
              </w:rPr>
            </w:pPr>
            <w:r>
              <w:rPr>
                <w:rFonts w:hint="eastAsia"/>
                <w:sz w:val="18"/>
                <w:szCs w:val="18"/>
              </w:rPr>
              <w:t>PY213</w:t>
            </w:r>
            <w:r>
              <w:rPr>
                <w:rFonts w:hint="eastAsia"/>
                <w:sz w:val="18"/>
                <w:szCs w:val="18"/>
                <w:lang w:val="en-US" w:eastAsia="zh-CN"/>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C1092221000</w:t>
            </w:r>
            <w:r>
              <w:rPr>
                <w:rFonts w:hint="eastAsia" w:hAnsi="Calibri"/>
                <w:sz w:val="18"/>
                <w:szCs w:val="18"/>
              </w:rPr>
              <w:t>179</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sz w:val="18"/>
                <w:szCs w:val="18"/>
                <w:u w:val="single"/>
              </w:rPr>
              <w:t>2021年10月8日至2021年10月12日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w:t>
            </w:r>
            <w:r>
              <w:rPr>
                <w:rFonts w:hint="eastAsia" w:cs="Times New Roman"/>
                <w:sz w:val="18"/>
                <w:szCs w:val="18"/>
                <w:lang w:val="en-US" w:eastAsia="zh-CN"/>
              </w:rPr>
              <w:t>55</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本理财计划成立日为2021年10月13日。温州银行有权根据实际募集情况选择产品提前成立，若温州银行采取以上措施，温州银行将就产品相应要素的调整事宜于提前成立日前的一个工作日在温州银行网站予以公告。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sz w:val="18"/>
                <w:lang w:eastAsia="zh-CN"/>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【1092】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颐养”21039号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颐养”21039号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颐养”21039号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sz w:val="18"/>
          <w:szCs w:val="18"/>
        </w:rPr>
        <w:t>20</w:t>
      </w:r>
      <w:r>
        <w:rPr>
          <w:rFonts w:hint="eastAsia"/>
          <w:sz w:val="18"/>
          <w:szCs w:val="18"/>
        </w:rPr>
        <w:t>21年10月13日，从成立日起，每</w:t>
      </w:r>
      <w:r>
        <w:rPr>
          <w:rFonts w:hint="eastAsia" w:ascii="宋体" w:hAnsi="宋体"/>
          <w:sz w:val="18"/>
          <w:lang w:eastAsia="zh-CN"/>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sz w:val="18"/>
          <w:szCs w:val="18"/>
        </w:rPr>
        <w:t>本产品预计到期终止日为2033年10月13日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颐养”21039号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以某客户投资10万元为例，购买时产品净值为1.00元，折算份额为100,000.00份,该投资运作周期的理财期限为1092天。假设该投资运作周期的产品业绩比较基准为 4.55% ，该投资运作周期单位累计分红净额0.091。投资运作周期到期清算时，扣除托管费、固定管理费后及其他费用（不含浮动管理费），如产品累计净值为1.1385，此时， (1.1385/1.00-1)×365/1092= 4.63%&gt; 4.55%，即投资收益率超越业绩比较基准，则投资管理人对超过业绩比较基准部分收益收取浮动管理费，浮动管理费为： 100,000.00×[1.1385-1.00×(1+ 4.55%×1092/365)]×50%=118.7（元）。扣除浮动管理费后，客户</w:t>
      </w:r>
      <w:r>
        <w:rPr>
          <w:rFonts w:hint="eastAsia" w:ascii="宋体" w:hAnsi="宋体"/>
          <w:sz w:val="18"/>
        </w:rPr>
        <w:t>剩余</w:t>
      </w:r>
      <w:r>
        <w:rPr>
          <w:rFonts w:ascii="宋体" w:hAnsi="宋体"/>
          <w:sz w:val="18"/>
        </w:rPr>
        <w:t>理财</w:t>
      </w:r>
      <w:r>
        <w:rPr>
          <w:rFonts w:hint="eastAsia"/>
          <w:sz w:val="18"/>
          <w:szCs w:val="18"/>
        </w:rPr>
        <w:t>收益为：100,000.00×（1.1385-1.00-0.091）-118.7=4631.3（元），产品投资运作周期到期时，客户本周期获得的实际收益相当于达到年化收益率水平为：（4631.3+100,000.00×0.091）/100,000.00×365/1092=4.59%。</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1092 天。假设该投资运作周期的业绩比较基准为 4.55% ，该投资运作周期单位累计分红净额0.088。投资运作周期到期清算时，扣除托管费、固定管理费及其他费用（不含浮动管理费）后，如产品净值为1.1325，此时，(1.1325/1.00-1)×365/1092=4.43%&lt;4.55%，即投资收益率未达到业绩比较基准，则投资管理人不收取浮动管理费，客户</w:t>
      </w:r>
      <w:r>
        <w:rPr>
          <w:rFonts w:hint="eastAsia" w:ascii="宋体" w:hAnsi="宋体"/>
          <w:sz w:val="18"/>
        </w:rPr>
        <w:t>剩余</w:t>
      </w:r>
      <w:r>
        <w:rPr>
          <w:rFonts w:ascii="宋体" w:hAnsi="宋体"/>
          <w:sz w:val="18"/>
        </w:rPr>
        <w:t>理财</w:t>
      </w:r>
      <w:r>
        <w:rPr>
          <w:rFonts w:hint="eastAsia"/>
          <w:sz w:val="18"/>
          <w:szCs w:val="18"/>
        </w:rPr>
        <w:t>收益为：100,000.00×(1.1325-1.00-0.088）=4,450.00（元）。产品投资运作周期到期时，客户本周期获得的实际收益相当于达到年化收益率水平为：（4450+100,000.00×0.088）/100,000.00×365/1092=4.43%。</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理财期限为1092天。假设产品业绩比较基准为4.55%，该投资运作周期单位累计分红净额0.005。到期时扣除托管费、固定管理费及其他费用（不含浮动管理费）后，如产品净值为0.998，则投资管理人不收取浮动管理费，客户最终收益为：100,000.00×（0.998-1.00-0.005）=-700.00（元）。</w:t>
      </w:r>
      <w:bookmarkStart w:id="0" w:name="_GoBack"/>
      <w:bookmarkEnd w:id="0"/>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颐养”21039号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颐养”21039号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44375FE"/>
    <w:rsid w:val="344867C2"/>
    <w:rsid w:val="37362DEA"/>
    <w:rsid w:val="3C513AE4"/>
    <w:rsid w:val="3C516A3E"/>
    <w:rsid w:val="3C63252E"/>
    <w:rsid w:val="3D0C27BE"/>
    <w:rsid w:val="3D7B28E3"/>
    <w:rsid w:val="3E2C2488"/>
    <w:rsid w:val="3E6D6D33"/>
    <w:rsid w:val="43C249B9"/>
    <w:rsid w:val="44211E37"/>
    <w:rsid w:val="45BF053A"/>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10F37CC"/>
    <w:rsid w:val="625426F3"/>
    <w:rsid w:val="64102A57"/>
    <w:rsid w:val="64DB6186"/>
    <w:rsid w:val="65DC2C48"/>
    <w:rsid w:val="68696415"/>
    <w:rsid w:val="686B32F0"/>
    <w:rsid w:val="690D10D2"/>
    <w:rsid w:val="6B37DFF8"/>
    <w:rsid w:val="6C1D1256"/>
    <w:rsid w:val="6C592131"/>
    <w:rsid w:val="6CA75DD7"/>
    <w:rsid w:val="6CEB63D2"/>
    <w:rsid w:val="731C3643"/>
    <w:rsid w:val="7354733A"/>
    <w:rsid w:val="7490085D"/>
    <w:rsid w:val="75FE40B4"/>
    <w:rsid w:val="761A0E25"/>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3011</Words>
  <Characters>17167</Characters>
  <Lines>143</Lines>
  <Paragraphs>40</Paragraphs>
  <TotalTime>0</TotalTime>
  <ScaleCrop>false</ScaleCrop>
  <LinksUpToDate>false</LinksUpToDate>
  <CharactersWithSpaces>20138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admin</cp:lastModifiedBy>
  <cp:lastPrinted>2012-11-29T10:11:00Z</cp:lastPrinted>
  <dcterms:modified xsi:type="dcterms:W3CDTF">2024-09-25T09:39:16Z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