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2</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普惠盈周”2号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普惠盈周”2号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普惠盈周”2号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2</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2024年2月18日至2024年2月20日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25</w:t>
            </w:r>
            <w:r>
              <w:rPr>
                <w:rFonts w:hint="eastAsia" w:cs="Times New Roman"/>
                <w:sz w:val="18"/>
                <w:szCs w:val="18"/>
              </w:rPr>
              <w:t>%-</w:t>
            </w:r>
            <w:r>
              <w:rPr>
                <w:rFonts w:hint="eastAsia" w:cs="Times New Roman"/>
                <w:sz w:val="18"/>
                <w:szCs w:val="18"/>
                <w:lang w:val="en-US" w:eastAsia="zh-CN"/>
              </w:rPr>
              <w:t>2.45</w:t>
            </w:r>
            <w:r>
              <w:rPr>
                <w:rFonts w:hint="eastAsia" w:cs="Times New Roman"/>
                <w:sz w:val="18"/>
                <w:szCs w:val="18"/>
              </w:rPr>
              <w:t>%（年化）</w:t>
            </w:r>
            <w:bookmarkStart w:id="0" w:name="_GoBack"/>
            <w:bookmarkEnd w:id="0"/>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普惠盈周”2号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8DB3017"/>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8DE2B11"/>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22</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2024-09-26T01:33:38Z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