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颐养”21041号</w:t>
      </w:r>
      <w:r>
        <w:rPr>
          <w:rFonts w:hint="eastAsia" w:ascii="宋体" w:hAnsi="宋体"/>
          <w:szCs w:val="21"/>
        </w:rPr>
        <w:t>开放式净值型银行理财计划产品说明书》、《温州银行“金鹿理财-普惠</w:t>
      </w:r>
      <w:r>
        <w:rPr>
          <w:rFonts w:hint="eastAsia" w:ascii="宋体" w:hAnsi="宋体"/>
          <w:szCs w:val="21"/>
          <w:lang w:eastAsia="zh-CN"/>
        </w:rPr>
        <w:t>颐养”21041号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kern w:val="0"/>
                <w:sz w:val="18"/>
                <w:szCs w:val="18"/>
              </w:rPr>
            </w:pPr>
            <w:r>
              <w:rPr>
                <w:rFonts w:ascii="宋体" w:cs="宋体"/>
                <w:kern w:val="0"/>
                <w:sz w:val="18"/>
                <w:szCs w:val="18"/>
              </w:rPr>
              <w:t>C1092221000181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w:t>
            </w:r>
            <w:r>
              <w:rPr>
                <w:rFonts w:ascii="宋体" w:hAnsi="宋体" w:cs="宋体"/>
                <w:kern w:val="0"/>
                <w:sz w:val="18"/>
                <w:szCs w:val="18"/>
                <w:u w:val="single"/>
              </w:rPr>
              <w:t>10</w:t>
            </w:r>
            <w:r>
              <w:rPr>
                <w:rFonts w:hint="eastAsia" w:ascii="宋体" w:hAnsi="宋体" w:cs="宋体"/>
                <w:kern w:val="0"/>
                <w:sz w:val="18"/>
                <w:szCs w:val="18"/>
                <w:u w:val="single"/>
              </w:rPr>
              <w:t>月</w:t>
            </w:r>
            <w:r>
              <w:rPr>
                <w:rFonts w:ascii="宋体" w:hAnsi="宋体" w:cs="宋体"/>
                <w:kern w:val="0"/>
                <w:sz w:val="18"/>
                <w:szCs w:val="18"/>
                <w:u w:val="single"/>
              </w:rPr>
              <w:t>20</w:t>
            </w:r>
            <w:r>
              <w:rPr>
                <w:rFonts w:hint="eastAsia" w:ascii="宋体" w:hAnsi="宋体" w:cs="宋体"/>
                <w:kern w:val="0"/>
                <w:sz w:val="18"/>
                <w:szCs w:val="18"/>
                <w:u w:val="single"/>
              </w:rPr>
              <w:t>日至2021年</w:t>
            </w:r>
            <w:r>
              <w:rPr>
                <w:rFonts w:ascii="宋体" w:hAnsi="宋体" w:cs="宋体"/>
                <w:kern w:val="0"/>
                <w:sz w:val="18"/>
                <w:szCs w:val="18"/>
                <w:u w:val="single"/>
              </w:rPr>
              <w:t>10</w:t>
            </w:r>
            <w:r>
              <w:rPr>
                <w:rFonts w:hint="eastAsia" w:ascii="宋体" w:hAnsi="宋体" w:cs="宋体"/>
                <w:kern w:val="0"/>
                <w:sz w:val="18"/>
                <w:szCs w:val="18"/>
                <w:u w:val="single"/>
              </w:rPr>
              <w:t>月</w:t>
            </w:r>
            <w:r>
              <w:rPr>
                <w:rFonts w:ascii="宋体" w:hAnsi="宋体" w:cs="宋体"/>
                <w:kern w:val="0"/>
                <w:sz w:val="18"/>
                <w:szCs w:val="18"/>
                <w:u w:val="single"/>
              </w:rPr>
              <w:t>26</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60</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w:t>
            </w:r>
            <w:r>
              <w:rPr>
                <w:rFonts w:ascii="宋体" w:hAnsi="宋体" w:cs="宋体"/>
                <w:kern w:val="0"/>
                <w:sz w:val="18"/>
                <w:szCs w:val="18"/>
              </w:rPr>
              <w:t>10</w:t>
            </w:r>
            <w:r>
              <w:rPr>
                <w:rFonts w:hint="eastAsia" w:ascii="宋体" w:hAnsi="宋体" w:cs="宋体"/>
                <w:kern w:val="0"/>
                <w:sz w:val="18"/>
                <w:szCs w:val="18"/>
              </w:rPr>
              <w:t>月</w:t>
            </w:r>
            <w:r>
              <w:rPr>
                <w:rFonts w:ascii="宋体" w:hAnsi="宋体" w:cs="宋体"/>
                <w:kern w:val="0"/>
                <w:sz w:val="18"/>
                <w:szCs w:val="18"/>
              </w:rPr>
              <w:t>27</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ascii="Times New Roman" w:hAnsi="Times New Roman"/>
          <w:sz w:val="18"/>
          <w:szCs w:val="18"/>
        </w:rPr>
        <w:t>2021年</w:t>
      </w:r>
      <w:r>
        <w:rPr>
          <w:rFonts w:ascii="Times New Roman" w:hAnsi="Times New Roman"/>
          <w:sz w:val="18"/>
          <w:szCs w:val="18"/>
        </w:rPr>
        <w:t>10</w:t>
      </w:r>
      <w:r>
        <w:rPr>
          <w:rFonts w:hint="eastAsia" w:ascii="Times New Roman" w:hAnsi="Times New Roman"/>
          <w:sz w:val="18"/>
          <w:szCs w:val="18"/>
        </w:rPr>
        <w:t>月</w:t>
      </w:r>
      <w:r>
        <w:rPr>
          <w:rFonts w:ascii="Times New Roman" w:hAnsi="Times New Roman"/>
          <w:sz w:val="18"/>
          <w:szCs w:val="18"/>
        </w:rPr>
        <w:t>27</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本产品预计到期终止日为2033年10月</w:t>
      </w:r>
      <w:r>
        <w:rPr>
          <w:rFonts w:hint="eastAsia"/>
          <w:bCs/>
          <w:sz w:val="18"/>
          <w:szCs w:val="18"/>
          <w:lang w:val="en-US" w:eastAsia="zh-CN"/>
        </w:rPr>
        <w:t>27</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w:t>
      </w:r>
      <w:r>
        <w:rPr>
          <w:rFonts w:ascii="Times New Roman" w:hAnsi="Times New Roman"/>
          <w:sz w:val="18"/>
          <w:szCs w:val="18"/>
        </w:rPr>
        <w:t>60</w:t>
      </w:r>
      <w:r>
        <w:rPr>
          <w:rFonts w:hint="eastAsia" w:ascii="Times New Roman" w:hAnsi="Times New Roman"/>
          <w:sz w:val="18"/>
          <w:szCs w:val="18"/>
        </w:rPr>
        <w:t>% ，该投资运作周期单位累计分红净额0.091。投资运作周期到期清算时，扣除托管费、固定管理费后及其他费用（不含浮动管理费），如产品累计净值为1.1385，此时， (1.1385/1.00-1)×365/1092= 4.63%&gt; 4.</w:t>
      </w:r>
      <w:r>
        <w:rPr>
          <w:rFonts w:ascii="Times New Roman" w:hAnsi="Times New Roman"/>
          <w:sz w:val="18"/>
          <w:szCs w:val="18"/>
        </w:rPr>
        <w:t>60</w:t>
      </w:r>
      <w:r>
        <w:rPr>
          <w:rFonts w:hint="eastAsia" w:ascii="Times New Roman" w:hAnsi="Times New Roman"/>
          <w:sz w:val="18"/>
          <w:szCs w:val="18"/>
        </w:rPr>
        <w:t>%，即投资收益率超越业绩比较基准，则投资管理人对超过业绩比较基准部分收益收取浮动管理费，浮动管理费为： 100,000.00×[1.1385-1.00×(1+ 4.</w:t>
      </w:r>
      <w:r>
        <w:rPr>
          <w:rFonts w:ascii="Times New Roman" w:hAnsi="Times New Roman"/>
          <w:sz w:val="18"/>
          <w:szCs w:val="18"/>
        </w:rPr>
        <w:t>60</w:t>
      </w:r>
      <w:r>
        <w:rPr>
          <w:rFonts w:hint="eastAsia" w:ascii="Times New Roman" w:hAnsi="Times New Roman"/>
          <w:sz w:val="18"/>
          <w:szCs w:val="18"/>
        </w:rPr>
        <w:t>%×1092/365)]×50%=</w:t>
      </w:r>
      <w:r>
        <w:rPr>
          <w:rFonts w:ascii="Times New Roman" w:hAnsi="Times New Roman"/>
          <w:sz w:val="18"/>
          <w:szCs w:val="18"/>
        </w:rPr>
        <w:t>43.9</w:t>
      </w:r>
      <w:r>
        <w:rPr>
          <w:rFonts w:hint="eastAsia" w:ascii="Times New Roman" w:hAnsi="Times New Roman"/>
          <w:sz w:val="18"/>
          <w:szCs w:val="18"/>
        </w:rPr>
        <w:t>（元）。扣除浮动管理费后，客户剩余理财收益为：100,000.00×（1.1385-1.00-0.091）-</w:t>
      </w:r>
      <w:r>
        <w:rPr>
          <w:rFonts w:ascii="Times New Roman" w:hAnsi="Times New Roman"/>
          <w:sz w:val="18"/>
          <w:szCs w:val="18"/>
        </w:rPr>
        <w:t>43.9</w:t>
      </w:r>
      <w:r>
        <w:rPr>
          <w:rFonts w:hint="eastAsia" w:ascii="Times New Roman" w:hAnsi="Times New Roman"/>
          <w:sz w:val="18"/>
          <w:szCs w:val="18"/>
        </w:rPr>
        <w:t>=4</w:t>
      </w:r>
      <w:r>
        <w:rPr>
          <w:rFonts w:ascii="Times New Roman" w:hAnsi="Times New Roman"/>
          <w:sz w:val="18"/>
          <w:szCs w:val="18"/>
        </w:rPr>
        <w:t>706.1</w:t>
      </w:r>
      <w:r>
        <w:rPr>
          <w:rFonts w:hint="eastAsia" w:ascii="Times New Roman" w:hAnsi="Times New Roman"/>
          <w:sz w:val="18"/>
          <w:szCs w:val="18"/>
        </w:rPr>
        <w:t>（元），产品投资运作周期到期时，客户本周期获得的实际收益相当于达到年化收益率水平为：（</w:t>
      </w:r>
      <w:r>
        <w:rPr>
          <w:rFonts w:ascii="Times New Roman" w:hAnsi="Times New Roman"/>
          <w:sz w:val="18"/>
          <w:szCs w:val="18"/>
        </w:rPr>
        <w:t>4706.1</w:t>
      </w:r>
      <w:r>
        <w:rPr>
          <w:rFonts w:hint="eastAsia" w:ascii="Times New Roman" w:hAnsi="Times New Roman"/>
          <w:sz w:val="18"/>
          <w:szCs w:val="18"/>
        </w:rPr>
        <w:t>+100,000.00×0.091）/100,000.00×365/1092=4.</w:t>
      </w:r>
      <w:r>
        <w:rPr>
          <w:rFonts w:ascii="Times New Roman" w:hAnsi="Times New Roman"/>
          <w:sz w:val="18"/>
          <w:szCs w:val="18"/>
        </w:rPr>
        <w:t>61</w:t>
      </w:r>
      <w:r>
        <w:rPr>
          <w:rFonts w:hint="eastAsia" w:ascii="Times New Roman" w:hAnsi="Times New Roman"/>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w:t>
      </w:r>
      <w:r>
        <w:rPr>
          <w:rFonts w:ascii="Times New Roman" w:hAnsi="Times New Roman"/>
          <w:sz w:val="18"/>
          <w:szCs w:val="18"/>
        </w:rPr>
        <w:t>60</w:t>
      </w:r>
      <w:r>
        <w:rPr>
          <w:rFonts w:hint="eastAsia" w:ascii="Times New Roman" w:hAnsi="Times New Roman"/>
          <w:sz w:val="18"/>
          <w:szCs w:val="18"/>
        </w:rPr>
        <w:t>% ，该投资运作周期单位累计分红净额0.088。投资运作周期到期清算时，扣除托管费、固定管理费及其他费用（不含浮动管理费）后，如产品净值为1.1325，此时，(1.1325/1.00-1)×365/1092=4.43%&lt;4.</w:t>
      </w:r>
      <w:r>
        <w:rPr>
          <w:rFonts w:ascii="Times New Roman" w:hAnsi="Times New Roman"/>
          <w:sz w:val="18"/>
          <w:szCs w:val="18"/>
        </w:rPr>
        <w:t>60</w:t>
      </w:r>
      <w:r>
        <w:rPr>
          <w:rFonts w:hint="eastAsia" w:ascii="Times New Roman" w:hAnsi="Times New Roman"/>
          <w:sz w:val="18"/>
          <w:szCs w:val="18"/>
        </w:rPr>
        <w:t>%，即投资收益率未达到业绩比较基准，则投资管理人不收取浮动管理费，客户剩余理财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w:t>
      </w:r>
      <w:r>
        <w:rPr>
          <w:rFonts w:ascii="Times New Roman" w:hAnsi="Times New Roman"/>
          <w:sz w:val="18"/>
          <w:szCs w:val="18"/>
        </w:rPr>
        <w:t>60</w:t>
      </w:r>
      <w:r>
        <w:rPr>
          <w:rFonts w:hint="eastAsia" w:ascii="Times New Roman" w:hAnsi="Times New Roman"/>
          <w:sz w:val="18"/>
          <w:szCs w:val="18"/>
        </w:rPr>
        <w:t>%，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f82LVCvTKItBF6zG9PqvcSlNxeU=" w:salt="D0ZRp9bjuWc9RAjowmrno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07871FF"/>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2024-10-11T07:18:54Z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