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21046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lang w:val="en-US" w:eastAsia="zh-CN"/>
        </w:rPr>
        <w:t>21046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w:t>
      </w:r>
      <w:r>
        <w:rPr>
          <w:rFonts w:hint="eastAsia"/>
          <w:szCs w:val="21"/>
          <w:lang w:eastAsia="zh-CN"/>
        </w:rPr>
        <w:t>颐养”21046号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颐养”21046号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颐养”21046号</w:t>
      </w:r>
      <w:r>
        <w:rPr>
          <w:rFonts w:hint="eastAsia" w:ascii="宋体" w:hAnsi="宋体"/>
          <w:szCs w:val="21"/>
        </w:rPr>
        <w:t>开放式净值型银行理财计划产品说明书》、《温州银行“金鹿理财-普惠</w:t>
      </w:r>
      <w:r>
        <w:rPr>
          <w:rFonts w:hint="eastAsia" w:ascii="宋体" w:hAnsi="宋体"/>
          <w:szCs w:val="21"/>
          <w:lang w:eastAsia="zh-CN"/>
        </w:rPr>
        <w:t>颐养”21046号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21046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颐养”21046号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lang w:val="en-US" w:eastAsia="zh-CN"/>
              </w:rPr>
              <w:t>21046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PY21</w:t>
            </w:r>
            <w:r>
              <w:rPr>
                <w:rFonts w:hint="eastAsia"/>
                <w:sz w:val="18"/>
                <w:szCs w:val="18"/>
                <w:lang w:val="en-US" w:eastAsia="zh-CN"/>
              </w:rPr>
              <w:t>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cs="宋体"/>
                <w:color w:val="000000"/>
                <w:kern w:val="0"/>
                <w:sz w:val="18"/>
                <w:szCs w:val="18"/>
              </w:rPr>
            </w:pPr>
            <w:r>
              <w:rPr>
                <w:rFonts w:ascii="宋体" w:cs="宋体"/>
                <w:color w:val="000000"/>
                <w:kern w:val="0"/>
                <w:sz w:val="18"/>
                <w:szCs w:val="18"/>
              </w:rPr>
              <w:t>C1092221000204</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ascii="宋体" w:hAnsi="宋体" w:cs="宋体"/>
                <w:kern w:val="0"/>
                <w:sz w:val="18"/>
                <w:szCs w:val="18"/>
                <w:u w:val="single"/>
              </w:rPr>
              <w:t>2021年1</w:t>
            </w:r>
            <w:r>
              <w:rPr>
                <w:rFonts w:ascii="宋体" w:hAnsi="宋体" w:cs="宋体"/>
                <w:kern w:val="0"/>
                <w:sz w:val="18"/>
                <w:szCs w:val="18"/>
                <w:u w:val="single"/>
              </w:rPr>
              <w:t>1</w:t>
            </w:r>
            <w:r>
              <w:rPr>
                <w:rFonts w:hint="eastAsia" w:ascii="宋体" w:hAnsi="宋体" w:cs="宋体"/>
                <w:kern w:val="0"/>
                <w:sz w:val="18"/>
                <w:szCs w:val="18"/>
                <w:u w:val="single"/>
              </w:rPr>
              <w:t>月</w:t>
            </w:r>
            <w:r>
              <w:rPr>
                <w:rFonts w:ascii="宋体" w:hAnsi="宋体" w:cs="宋体"/>
                <w:kern w:val="0"/>
                <w:sz w:val="18"/>
                <w:szCs w:val="18"/>
                <w:u w:val="single"/>
              </w:rPr>
              <w:t>25</w:t>
            </w:r>
            <w:r>
              <w:rPr>
                <w:rFonts w:hint="eastAsia" w:ascii="宋体" w:hAnsi="宋体" w:cs="宋体"/>
                <w:kern w:val="0"/>
                <w:sz w:val="18"/>
                <w:szCs w:val="18"/>
                <w:u w:val="single"/>
              </w:rPr>
              <w:t>日至2021年</w:t>
            </w:r>
            <w:r>
              <w:rPr>
                <w:rFonts w:ascii="宋体" w:hAnsi="宋体" w:cs="宋体"/>
                <w:kern w:val="0"/>
                <w:sz w:val="18"/>
                <w:szCs w:val="18"/>
                <w:u w:val="single"/>
              </w:rPr>
              <w:t>11</w:t>
            </w:r>
            <w:r>
              <w:rPr>
                <w:rFonts w:hint="eastAsia" w:ascii="宋体" w:hAnsi="宋体" w:cs="宋体"/>
                <w:kern w:val="0"/>
                <w:sz w:val="18"/>
                <w:szCs w:val="18"/>
                <w:u w:val="single"/>
              </w:rPr>
              <w:t>月</w:t>
            </w:r>
            <w:r>
              <w:rPr>
                <w:rFonts w:ascii="宋体" w:hAnsi="宋体" w:cs="宋体"/>
                <w:kern w:val="0"/>
                <w:sz w:val="18"/>
                <w:szCs w:val="18"/>
                <w:u w:val="single"/>
              </w:rPr>
              <w:t>30</w:t>
            </w:r>
            <w:r>
              <w:rPr>
                <w:rFonts w:hint="eastAsia" w:ascii="宋体" w:hAnsi="宋体" w:cs="宋体"/>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ascii="宋体" w:hAnsi="宋体"/>
                <w:kern w:val="0"/>
                <w:sz w:val="18"/>
                <w:szCs w:val="18"/>
              </w:rPr>
              <w:t>4.</w:t>
            </w:r>
            <w:r>
              <w:rPr>
                <w:rFonts w:ascii="宋体" w:hAnsi="宋体"/>
                <w:kern w:val="0"/>
                <w:sz w:val="18"/>
                <w:szCs w:val="18"/>
              </w:rPr>
              <w:t>6</w:t>
            </w:r>
            <w:r>
              <w:rPr>
                <w:rFonts w:hint="eastAsia" w:ascii="宋体" w:hAnsi="宋体"/>
                <w:kern w:val="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w:t>
            </w:r>
            <w:r>
              <w:rPr>
                <w:rFonts w:hint="eastAsia" w:ascii="宋体" w:hAnsi="宋体" w:cs="宋体"/>
                <w:kern w:val="0"/>
                <w:sz w:val="18"/>
                <w:szCs w:val="18"/>
              </w:rPr>
              <w:t>2021年1</w:t>
            </w:r>
            <w:r>
              <w:rPr>
                <w:rFonts w:hint="eastAsia" w:cs="宋体"/>
                <w:kern w:val="0"/>
                <w:sz w:val="18"/>
                <w:szCs w:val="18"/>
                <w:lang w:val="en-US" w:eastAsia="zh-CN"/>
              </w:rPr>
              <w:t>2</w:t>
            </w:r>
            <w:r>
              <w:rPr>
                <w:rFonts w:hint="eastAsia" w:ascii="宋体" w:hAnsi="宋体" w:cs="宋体"/>
                <w:kern w:val="0"/>
                <w:sz w:val="18"/>
                <w:szCs w:val="18"/>
              </w:rPr>
              <w:t>月1日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lang w:eastAsia="zh-CN"/>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颐养”21046号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颐养”21046号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颐养”21046号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ascii="Times New Roman" w:hAnsi="Times New Roman"/>
          <w:sz w:val="18"/>
          <w:szCs w:val="18"/>
        </w:rPr>
        <w:t>20</w:t>
      </w:r>
      <w:r>
        <w:rPr>
          <w:rFonts w:hint="eastAsia" w:ascii="Times New Roman" w:hAnsi="Times New Roman"/>
          <w:sz w:val="18"/>
          <w:szCs w:val="18"/>
        </w:rPr>
        <w:t>21年1</w:t>
      </w:r>
      <w:r>
        <w:rPr>
          <w:rFonts w:hint="eastAsia"/>
          <w:sz w:val="18"/>
          <w:szCs w:val="18"/>
          <w:lang w:val="en-US" w:eastAsia="zh-CN"/>
        </w:rPr>
        <w:t>2</w:t>
      </w:r>
      <w:r>
        <w:rPr>
          <w:rFonts w:hint="eastAsia" w:ascii="Times New Roman" w:hAnsi="Times New Roman"/>
          <w:sz w:val="18"/>
          <w:szCs w:val="18"/>
        </w:rPr>
        <w:t>月1日</w:t>
      </w:r>
      <w:r>
        <w:rPr>
          <w:rFonts w:hint="eastAsia"/>
          <w:sz w:val="18"/>
          <w:szCs w:val="18"/>
        </w:rPr>
        <w:t>，从成立日起，每</w:t>
      </w:r>
      <w:r>
        <w:rPr>
          <w:rFonts w:hint="eastAsia" w:ascii="宋体" w:hAnsi="宋体"/>
          <w:sz w:val="18"/>
          <w:lang w:eastAsia="zh-CN"/>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本产品预计到期终止日为2033年1</w:t>
      </w:r>
      <w:r>
        <w:rPr>
          <w:rFonts w:hint="eastAsia"/>
          <w:bCs/>
          <w:sz w:val="18"/>
          <w:szCs w:val="18"/>
          <w:lang w:val="en-US" w:eastAsia="zh-CN"/>
        </w:rPr>
        <w:t>2</w:t>
      </w:r>
      <w:r>
        <w:rPr>
          <w:rFonts w:hint="eastAsia"/>
          <w:bCs/>
          <w:sz w:val="18"/>
          <w:szCs w:val="18"/>
        </w:rPr>
        <w:t>月1日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颐养”21046号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示例一：扣除托管费、固定管理费及其他费用（不含浮动管理费）后，投资收益率超越业绩比较基准。</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以某客户投资10万元为例，购买时产品净值为1.00元，折算份额为100,000.00份,该投资运作周期的理财期限为1092天。假设该投资运作周期的产品业绩比较基准为 4.6% ，该投资运作周期单位累计分红净额0.091。投资运作周期到期清算时，扣除托管费、固定管理费后及其他费用（不含浮动管理费），如产品累计净值为1.1385，此时， (1.1385/1.00-1)×365/1092= 4.63%&gt; 4.6%，即投资收益率超越业绩比较基准，则投资管理人对超过业绩比较基准部分收益收取浮动管理费，浮动管理费为： 100,000.00×[1.1385-1.00×(1+ 4.6%×1092/365)]×50%=43.9（元）。扣除浮动管理费后，客户剩余理财收益为：100,000.00×（1.1385-1.00-0.091）-43.9=4706.1（元），产品投资运作周期到期时，客户本周期获得的实际收益相当于达到年化收益率水平为：（4706.1+100,000.00×0.091）/100,000.00×365/1092=4.61%。</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示例二：扣除托管费、固定管理费及其他费用（不含浮动管理费）后，投资收益率未达到业绩比较基准。</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以某客户投资10万元为例，购买时产品净值为1.00元，折算份额为100,000.00份, 该投资运作周期的理财期限为 1092 天。假设该投资运作周期的业绩比较基准为 4.6% ，该投资运作周期单位累计分红净额0.088。投资运作周期到期清算时，扣除托管费、固定管理费及其他费用（不含浮动管理费）后，如产品净值为1.1325，此时，(1.1325/1.00-1)×365/1092=4.43%&lt;4.6%，即投资收益率未达到业绩比较基准，则投资管理人不收取浮动管理费，客户剩余理财收益为：100,000.00×(1.1325-1.00-0.088）=4,450.00（元）。产品投资运作周期到期时，客户本周期获得的实际收益相当于达到年化收益率水平为：（4450+100,000.00×0.088）/100,000.00×365/1092=4.43%。</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示例三：最不利情况，扣除托管费、固定管理费及其他费用（不含浮动管理费）后，投资发生亏损。</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以某客户投资10万元为例，购买时产品净值为1.00元，折算份额为100,000.00份，理财期限为1092天。假设产品业绩比较基准为4.6%，该投资运作周期单位累计分红净额0.005。到期时扣除托管费、固定管理费及其他费用（不含浮动管理费）后，如产品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颐养”21046号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颐养”21046号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7+1N/8AFswPj5NS0SdptDm1X/hU=" w:salt="bl4WYbDeSAT5VCORO3YN5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106733A8"/>
    <w:rsid w:val="11BB7A5F"/>
    <w:rsid w:val="15C82007"/>
    <w:rsid w:val="173C03E3"/>
    <w:rsid w:val="179F7C08"/>
    <w:rsid w:val="1BCF3259"/>
    <w:rsid w:val="1DAF1517"/>
    <w:rsid w:val="1ECC4F08"/>
    <w:rsid w:val="1FDC6C5E"/>
    <w:rsid w:val="21B15941"/>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3AE4"/>
    <w:rsid w:val="3C516A3E"/>
    <w:rsid w:val="3C63252E"/>
    <w:rsid w:val="3D0C27BE"/>
    <w:rsid w:val="3D7B28E3"/>
    <w:rsid w:val="3E2C2488"/>
    <w:rsid w:val="3E6D6D33"/>
    <w:rsid w:val="43C249B9"/>
    <w:rsid w:val="44211E37"/>
    <w:rsid w:val="45BF053A"/>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5DCF2374"/>
    <w:rsid w:val="5E8E455F"/>
    <w:rsid w:val="610F37CC"/>
    <w:rsid w:val="625426F3"/>
    <w:rsid w:val="64102A57"/>
    <w:rsid w:val="64DB6186"/>
    <w:rsid w:val="65DC2C48"/>
    <w:rsid w:val="68696415"/>
    <w:rsid w:val="686B32F0"/>
    <w:rsid w:val="690D10D2"/>
    <w:rsid w:val="6B37DFF8"/>
    <w:rsid w:val="6C1D1256"/>
    <w:rsid w:val="6C592131"/>
    <w:rsid w:val="6CA75DD7"/>
    <w:rsid w:val="6CEB63D2"/>
    <w:rsid w:val="731C3643"/>
    <w:rsid w:val="7354733A"/>
    <w:rsid w:val="7490085D"/>
    <w:rsid w:val="75C248D9"/>
    <w:rsid w:val="75FE40B4"/>
    <w:rsid w:val="761A0E25"/>
    <w:rsid w:val="769C0D96"/>
    <w:rsid w:val="77AB7FA4"/>
    <w:rsid w:val="79A903BE"/>
    <w:rsid w:val="7A8D5E63"/>
    <w:rsid w:val="7BD656B6"/>
    <w:rsid w:val="7C002445"/>
    <w:rsid w:val="7C1A5C70"/>
    <w:rsid w:val="7CCA2C71"/>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3011</Words>
  <Characters>17167</Characters>
  <Lines>143</Lines>
  <Paragraphs>40</Paragraphs>
  <TotalTime>0</TotalTime>
  <ScaleCrop>false</ScaleCrop>
  <LinksUpToDate>false</LinksUpToDate>
  <CharactersWithSpaces>20138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2024-11-15T08:03:44Z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