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20001号开放式净值型银行理财计划产品说明书》、《温州银行“金鹿理财-温盈”20001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2020年1月9日</w:t>
            </w:r>
            <w:r>
              <w:rPr>
                <w:rFonts w:hint="eastAsia"/>
                <w:sz w:val="18"/>
                <w:szCs w:val="18"/>
                <w:u w:val="single"/>
              </w:rPr>
              <w:t>至</w:t>
            </w:r>
            <w:r>
              <w:rPr>
                <w:rFonts w:hint="eastAsia"/>
                <w:color w:val="000000"/>
                <w:sz w:val="18"/>
                <w:szCs w:val="18"/>
                <w:u w:val="single"/>
                <w:lang w:val="en-US" w:eastAsia="zh-CN"/>
              </w:rPr>
              <w:t>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：本理财计划成立日为2020年1月15日，从成立日起，每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20001号开放式净值型银行理财计划风险揭示书》、《温州银行“金鹿理财”银行理财计划合约》、《温州银行“金鹿理财-温盈”20001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DnRR/jfTvz2jisuPRT32psH4aI=" w:salt="cAqHWafu+BetS5z+U5TW4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3A4C44"/>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2025-01-03T03:32:53Z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