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20056号开放式净值型银行理财计划产品说明书》、《温州银行“金鹿理财-温盈”20056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2020年6月3日</w:t>
            </w:r>
            <w:r>
              <w:rPr>
                <w:rFonts w:hint="eastAsia"/>
                <w:sz w:val="18"/>
                <w:szCs w:val="18"/>
                <w:u w:val="single"/>
              </w:rPr>
              <w:t>至</w:t>
            </w:r>
            <w:r>
              <w:rPr>
                <w:rFonts w:hint="eastAsia"/>
                <w:color w:val="000000"/>
                <w:sz w:val="18"/>
                <w:szCs w:val="18"/>
                <w:u w:val="single"/>
                <w:lang w:val="en-US" w:eastAsia="zh-CN"/>
              </w:rPr>
              <w:t>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20056号开放式净值型银行理财计划风险揭示书》、《温州银行“金鹿理财”银行理财计划合约》、《温州银行“金鹿理财-温盈”20056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3F4fdEio1Q6fDRvhs3+YKMiAx4=" w:salt="NbFizkDVoPNaztsDtQDKR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2203B7"/>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5</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2025-01-03T03:32:52Z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