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19024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279</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19024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第8期279天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2.7%-2.8%</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2025年1月27日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2025年2月5日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2025年2月6日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279天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2025年11月5日</w:t>
            </w:r>
            <w:r>
              <w:rPr>
                <w:rFonts w:hint="eastAsia" w:ascii="宋体" w:hAnsi="宋体" w:eastAsia="宋体"/>
                <w:color w:val="000000"/>
                <w:kern w:val="0"/>
                <w:sz w:val="18"/>
                <w:szCs w:val="18"/>
                <w:u w:val="single"/>
                <w:lang w:eastAsia="zh-Hans"/>
              </w:rPr>
              <w:t>至2025年11月11日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2025年11月12日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第8期279天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PwAkktdAakp6yQ1XdXsPrkC/1h8=" w:salt="uLGzEeYWBZ1b/E2uVS3a/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D937F6B"/>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2025-01-17T07:25:04Z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