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19027号开放式净值型银行理财计划产品说明书》、《温州银行“金鹿理财-温盈”19027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2019年10月10日</w:t>
            </w:r>
            <w:r>
              <w:rPr>
                <w:rFonts w:hint="eastAsia"/>
                <w:sz w:val="18"/>
                <w:szCs w:val="18"/>
                <w:u w:val="single"/>
              </w:rPr>
              <w:t>至</w:t>
            </w:r>
            <w:r>
              <w:rPr>
                <w:rFonts w:hint="eastAsia"/>
                <w:color w:val="000000"/>
                <w:sz w:val="18"/>
                <w:szCs w:val="18"/>
                <w:u w:val="single"/>
                <w:lang w:val="en-US" w:eastAsia="zh-CN"/>
              </w:rPr>
              <w:t>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：本理财计划成立日为2019年10月16日，从成立日起，每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本产品预计到期终止日为2029年10月16日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19027号开放式净值型银行理财计划风险揭示书》、《温州银行“金鹿理财”银行理财计划合约》、《温州银行“金鹿理财-温盈”19027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xcgxYpJaW0TOni6WIjA8p2GDCI=" w:salt="6uALcp/1xtHcOIDrZWP8v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3A5026"/>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2025-02-14T07:56:44Z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