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19029号开放式净值型银行理财计划产品说明书》、《温州银行“金鹿理财-温盈”19029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2019年10月17日</w:t>
            </w:r>
            <w:r>
              <w:rPr>
                <w:rFonts w:hint="eastAsia"/>
                <w:sz w:val="18"/>
                <w:szCs w:val="18"/>
                <w:u w:val="single"/>
              </w:rPr>
              <w:t>至</w:t>
            </w:r>
            <w:r>
              <w:rPr>
                <w:rFonts w:hint="eastAsia"/>
                <w:color w:val="000000"/>
                <w:sz w:val="18"/>
                <w:szCs w:val="18"/>
                <w:u w:val="single"/>
                <w:lang w:val="en-US" w:eastAsia="zh-CN"/>
              </w:rPr>
              <w:t>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：本理财计划成立日为2019年10月23日，从成立日起，每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19029号开放式净值型银行理财计划风险揭示书》、《温州银行“金鹿理财”银行理财计划合约》、《温州银行“金鹿理财-温盈”19029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ljzuwXXg3aCigXjGHUfECbmjLc=" w:salt="RkvYmF9Ap5u3Ovs/7AQ1h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8A3535F"/>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2025-02-21T07:57:18Z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