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w:t>
      </w:r>
      <w:bookmarkStart w:id="0" w:name="_GoBack"/>
      <w:bookmarkEnd w:id="0"/>
      <w:r>
        <w:rPr>
          <w:rFonts w:hint="eastAsia" w:ascii="宋体" w:hAnsi="宋体"/>
          <w:color w:val="000000"/>
          <w:szCs w:val="21"/>
        </w:rPr>
        <w:t>20021号开放式净值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20021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20021号开放式净值型银行理财计划产品说明书》、《温州银行“金鹿理财-温盈”20021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20021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2020年2月24日</w:t>
            </w:r>
            <w:r>
              <w:rPr>
                <w:rFonts w:hint="eastAsia"/>
                <w:sz w:val="18"/>
                <w:szCs w:val="18"/>
                <w:u w:val="single"/>
              </w:rPr>
              <w:t>至</w:t>
            </w:r>
            <w:r>
              <w:rPr>
                <w:rFonts w:hint="eastAsia"/>
                <w:color w:val="000000"/>
                <w:sz w:val="18"/>
                <w:szCs w:val="18"/>
                <w:u w:val="single"/>
                <w:lang w:val="en-US" w:eastAsia="zh-CN"/>
              </w:rPr>
              <w:t>2020年3月1日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《温州银行“金鹿理财-温盈”20021号开放式净值型（第i期）银行理财计划开放认购（申购）申请书》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《温州银行“金鹿理财-温盈”20021号开放式净值型（第i期）银行理财计划开放认购（申购）申请书》。投资运作周期到期时，该周期内的资金收益情况根据所投资资产组合的实际运作情况确定。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：本理财计划成立日为2020年3月2日，从成立日起，每</w:t>
      </w:r>
      <w:r>
        <w:rPr>
          <w:rFonts w:ascii="宋体" w:hAnsi="宋体"/>
          <w:sz w:val="18"/>
        </w:rPr>
        <w:t>【</w:t>
      </w:r>
      <w:r>
        <w:rPr>
          <w:rFonts w:hint="eastAsia" w:ascii="宋体" w:hAnsi="宋体"/>
          <w:color w:val="000000"/>
          <w:sz w:val="18"/>
        </w:rPr>
        <w:t>373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20021号开放式净值型银行理财计划风险揭示书》、《温州银行“金鹿理财”银行理财计划合约》、《温州银行“金鹿理财-温盈”20021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o8GmwSVCJmyKsA9WlHXmacBdmA=" w:salt="ilUzNUoB1+Bnyf/64s/bk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6B47D3"/>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1</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2025-03-21T08:31:01Z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