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三、本风险揭示书及《温州银行“金鹿理财-普惠季享”25008号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25008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25008</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普惠季享”25008号（共同富裕特别款）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季享”25008号（共同富裕特别款）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C1092225000013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2025年4月1日至2025年4月7日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2025年4月1日至2025年4月7日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2025年8月5日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1.010，此时，(1.010/1.00-1)×365/119=3.07%&gt;2.6%，即投资收益超越业绩比较基准，则投资管理人对超过业绩比较基准部分收益收取浮动管理费，浮动管理费为：1,000,000.00×[1.010-1.00×(1+2.6%×119/365)]×80%=1218.63（元）。扣除浮动管理费后，客户最终收益为：1,000,000.00×（1.010-1.00）-1218.63=8781.37（元），产品到期时，客户获得的实际收益相当于达到年化收益率水平为：8781.37/1,000,000.00×365/119=2.69%。</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1.008，此时，(1.008/1.00-1)×365/119=2.45%&lt;2.6%，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普惠季享”25008号（共同富裕特别款）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yLri7kPWVafX8wPtSpN88hctZU=" w:salt="6WdcTZpS2EyVQmjyL8Lqf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B92200"/>
    <w:rsid w:val="65F30631"/>
    <w:rsid w:val="661104BF"/>
    <w:rsid w:val="699C4EA7"/>
    <w:rsid w:val="6B215482"/>
    <w:rsid w:val="6D15771F"/>
    <w:rsid w:val="6F6944D6"/>
    <w:rsid w:val="71036FEA"/>
    <w:rsid w:val="718A5772"/>
    <w:rsid w:val="73512F30"/>
    <w:rsid w:val="75300C3B"/>
    <w:rsid w:val="76592994"/>
    <w:rsid w:val="772F5857"/>
    <w:rsid w:val="77EC71A1"/>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13070</Words>
  <Characters>13552</Characters>
  <Lines>100</Lines>
  <Paragraphs>28</Paragraphs>
  <TotalTime>0</TotalTime>
  <ScaleCrop>false</ScaleCrop>
  <LinksUpToDate>false</LinksUpToDate>
  <CharactersWithSpaces>13847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2025-03-28T06:55:19Z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