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w:t>
      </w:r>
      <w:bookmarkStart w:id="0" w:name="_GoBack"/>
      <w:r>
        <w:rPr>
          <w:rFonts w:hint="eastAsia" w:ascii="黑体" w:hAnsi="Times New Roman" w:eastAsia="黑体"/>
          <w:color w:val="000000"/>
          <w:sz w:val="30"/>
          <w:szCs w:val="30"/>
          <w:lang w:eastAsia="zh-CN"/>
        </w:rPr>
        <w:t>盈”</w:t>
      </w:r>
      <w:r>
        <w:rPr>
          <w:rFonts w:hint="eastAsia" w:ascii="黑体" w:hAnsi="Times New Roman" w:eastAsia="黑体"/>
          <w:color w:val="000000"/>
          <w:sz w:val="30"/>
          <w:szCs w:val="30"/>
          <w:u w:val="none"/>
          <w:lang w:val="en-US" w:eastAsia="zh-CN"/>
        </w:rPr>
        <w:t>20024</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6</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378</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20024</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第6期378天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2.8%-2.9%</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2025年4月2日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2025年4月8日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2025年4月9日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378天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2026年4月15日</w:t>
            </w:r>
            <w:r>
              <w:rPr>
                <w:rFonts w:hint="eastAsia" w:ascii="宋体" w:hAnsi="宋体" w:eastAsia="宋体"/>
                <w:color w:val="000000"/>
                <w:kern w:val="0"/>
                <w:sz w:val="18"/>
                <w:szCs w:val="18"/>
                <w:u w:val="single"/>
                <w:lang w:eastAsia="zh-Hans"/>
              </w:rPr>
              <w:t>至2026年4月21日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2026年4月22日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20024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20024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20024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第6期378天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dit="readOnly" w:enforcement="1" w:cryptProviderType="rsaFull" w:cryptAlgorithmClass="hash" w:cryptAlgorithmType="typeAny" w:cryptAlgorithmSid="4" w:cryptSpinCount="0" w:hash="x0SRgGLth6zxZaxXMS+m5eVEsOI=" w:salt="Sb6+db5QCCDYIoymn4H33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36737CE"/>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BEF0754"/>
    <w:rsid w:val="40030D29"/>
    <w:rsid w:val="46833776"/>
    <w:rsid w:val="4A122D83"/>
    <w:rsid w:val="4D2216F5"/>
    <w:rsid w:val="4FE04351"/>
    <w:rsid w:val="511E88BC"/>
    <w:rsid w:val="54232EF0"/>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2</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2025-03-28T06:49:35Z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