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20067号开放式净值型银行理财计划产品说明书》、《温州银行“金鹿理财-温盈”20067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2020年9月2日</w:t>
            </w:r>
            <w:r>
              <w:rPr>
                <w:rFonts w:hint="eastAsia"/>
                <w:sz w:val="18"/>
                <w:szCs w:val="18"/>
                <w:u w:val="single"/>
              </w:rPr>
              <w:t>至</w:t>
            </w:r>
            <w:r>
              <w:rPr>
                <w:rFonts w:hint="eastAsia"/>
                <w:color w:val="000000"/>
                <w:sz w:val="18"/>
                <w:szCs w:val="18"/>
                <w:u w:val="single"/>
                <w:lang w:val="en-US" w:eastAsia="zh-CN"/>
              </w:rPr>
              <w:t>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本理财计划成立日为2020年9月9日。温州银行有权根据实际募集情况选择产品提前成立，若温州银行采取以上措施，温州银行将就产品相应要素的调整事宜于提前成立日前的一个工作日在温州银行网站予以公告。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：本理财计划成立日为2020年9月9日，从成立日起，每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本产品预计到期终止日为2030年9月9日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20067号开放式净值型银行理财计划风险揭示书》、《温州银行“金鹿理财”银行理财计划合约》、《温州银行“金鹿理财-温盈”20067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64MYSTkKDHsnwER3QqAtRR4dzwo=" w:salt="WVBVOnwHBLZwAIHF0df/h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2C1F12D9"/>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2025-04-03T06:33:08Z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