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19041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19041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第8期280天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2.7%-2.8%</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2025年4月16日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2025年4月22日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2025年4月23日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2026年1月21日</w:t>
            </w:r>
            <w:r>
              <w:rPr>
                <w:rFonts w:hint="eastAsia" w:ascii="宋体" w:hAnsi="宋体" w:eastAsia="宋体"/>
                <w:color w:val="000000"/>
                <w:kern w:val="0"/>
                <w:sz w:val="18"/>
                <w:szCs w:val="18"/>
                <w:u w:val="single"/>
                <w:lang w:eastAsia="zh-Hans"/>
              </w:rPr>
              <w:t>至2026年</w:t>
            </w:r>
            <w:bookmarkStart w:id="0" w:name="_GoBack"/>
            <w:bookmarkEnd w:id="0"/>
            <w:r>
              <w:rPr>
                <w:rFonts w:hint="eastAsia" w:ascii="宋体" w:hAnsi="宋体" w:eastAsia="宋体"/>
                <w:color w:val="000000"/>
                <w:kern w:val="0"/>
                <w:sz w:val="18"/>
                <w:szCs w:val="18"/>
                <w:u w:val="single"/>
                <w:lang w:eastAsia="zh-Hans"/>
              </w:rPr>
              <w:t>1月27日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第8期280天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sWRhfwXRqoAhw2+xJE0EgFAyUy4=" w:salt="T5FuzbrTSvp3ssO9VxW4d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3792726"/>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2025-04-11T03:06:23Z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