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972FC">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20039</w:t>
      </w:r>
      <w:r>
        <w:rPr>
          <w:rFonts w:hint="eastAsia" w:ascii="黑体" w:eastAsia="黑体"/>
          <w:sz w:val="30"/>
          <w:szCs w:val="30"/>
        </w:rPr>
        <w:t>号</w:t>
      </w:r>
    </w:p>
    <w:p w14:paraId="382351AD">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6EF7FD85">
      <w:pPr>
        <w:adjustRightInd w:val="0"/>
        <w:snapToGrid w:val="0"/>
        <w:spacing w:before="240" w:line="300" w:lineRule="auto"/>
        <w:rPr>
          <w:rFonts w:ascii="宋体" w:hAnsi="宋体"/>
          <w:b/>
          <w:szCs w:val="21"/>
        </w:rPr>
      </w:pPr>
      <w:r>
        <w:rPr>
          <w:rFonts w:hint="eastAsia" w:ascii="宋体" w:hAnsi="宋体"/>
          <w:b/>
          <w:szCs w:val="21"/>
        </w:rPr>
        <w:t>尊敬的客户：</w:t>
      </w:r>
    </w:p>
    <w:p w14:paraId="70176907">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3C08B7C1">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391967D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7098E66B">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74CA5CCF">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20039号开放式净值型银行理财计划产品说明书》、《温州银行“金鹿理财-温盈”20039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9D6D97A">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ED6D109">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41745FCD">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5EC6A76C">
      <w:pPr>
        <w:adjustRightInd w:val="0"/>
        <w:snapToGrid w:val="0"/>
        <w:spacing w:line="300" w:lineRule="auto"/>
        <w:rPr>
          <w:b/>
          <w:szCs w:val="21"/>
        </w:rPr>
      </w:pPr>
      <w:r>
        <w:rPr>
          <w:rFonts w:hint="eastAsia"/>
          <w:b/>
          <w:szCs w:val="21"/>
        </w:rPr>
        <w:t>本人经温州银行评估的风险承受能力等级为（客户填写）：</w:t>
      </w:r>
    </w:p>
    <w:p w14:paraId="50C94C9D">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454842B">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52C1598">
      <w:pPr>
        <w:adjustRightInd w:val="0"/>
        <w:snapToGrid w:val="0"/>
        <w:spacing w:line="300" w:lineRule="auto"/>
        <w:rPr>
          <w:b/>
          <w:szCs w:val="21"/>
        </w:rPr>
      </w:pPr>
      <w:r>
        <w:rPr>
          <w:rFonts w:hint="eastAsia"/>
          <w:b/>
          <w:szCs w:val="21"/>
          <w:u w:val="single"/>
        </w:rPr>
        <w:t xml:space="preserve">                                                                                 </w:t>
      </w:r>
      <w:r>
        <w:rPr>
          <w:rFonts w:hint="eastAsia"/>
          <w:szCs w:val="21"/>
        </w:rPr>
        <w:t>。</w:t>
      </w:r>
    </w:p>
    <w:p w14:paraId="54FC01F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4128E5CE">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EE80C76">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20039</w:t>
      </w:r>
      <w:r>
        <w:rPr>
          <w:rFonts w:hint="eastAsia" w:ascii="黑体" w:eastAsia="黑体"/>
          <w:sz w:val="30"/>
          <w:szCs w:val="30"/>
        </w:rPr>
        <w:t>号</w:t>
      </w:r>
    </w:p>
    <w:p w14:paraId="7E9BD642">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15119B2">
      <w:pPr>
        <w:adjustRightInd w:val="0"/>
        <w:snapToGrid w:val="0"/>
        <w:spacing w:before="120" w:line="288" w:lineRule="auto"/>
        <w:rPr>
          <w:b/>
          <w:sz w:val="18"/>
          <w:szCs w:val="18"/>
        </w:rPr>
      </w:pPr>
      <w:r>
        <w:rPr>
          <w:rFonts w:hint="eastAsia"/>
          <w:b/>
          <w:sz w:val="18"/>
          <w:szCs w:val="18"/>
        </w:rPr>
        <w:t>重要须知</w:t>
      </w:r>
    </w:p>
    <w:p w14:paraId="3C94AC37">
      <w:pPr>
        <w:adjustRightInd w:val="0"/>
        <w:snapToGrid w:val="0"/>
        <w:spacing w:line="288" w:lineRule="auto"/>
        <w:rPr>
          <w:sz w:val="18"/>
          <w:szCs w:val="18"/>
        </w:rPr>
      </w:pPr>
      <w:r>
        <w:rPr>
          <w:rFonts w:hint="eastAsia"/>
          <w:sz w:val="18"/>
          <w:szCs w:val="18"/>
        </w:rPr>
        <w:t>本产品与银行存款存在明显区别，具有一定的风险。</w:t>
      </w:r>
    </w:p>
    <w:p w14:paraId="30A30AD5">
      <w:pPr>
        <w:adjustRightInd w:val="0"/>
        <w:snapToGrid w:val="0"/>
        <w:spacing w:line="288" w:lineRule="auto"/>
        <w:rPr>
          <w:sz w:val="18"/>
          <w:szCs w:val="18"/>
        </w:rPr>
      </w:pPr>
      <w:r>
        <w:rPr>
          <w:rFonts w:hint="eastAsia"/>
          <w:sz w:val="18"/>
          <w:szCs w:val="18"/>
        </w:rPr>
        <w:t>本产品适合于无投资经验投资者和有投资经验投资者。</w:t>
      </w:r>
    </w:p>
    <w:p w14:paraId="3442D42B">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23224535">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AB1759B">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C915629">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786B701">
      <w:pPr>
        <w:adjustRightInd w:val="0"/>
        <w:snapToGrid w:val="0"/>
        <w:spacing w:line="288" w:lineRule="auto"/>
        <w:rPr>
          <w:b/>
          <w:sz w:val="18"/>
          <w:szCs w:val="18"/>
        </w:rPr>
      </w:pPr>
      <w:r>
        <w:rPr>
          <w:rFonts w:hint="eastAsia"/>
          <w:b/>
          <w:sz w:val="18"/>
          <w:szCs w:val="18"/>
        </w:rPr>
        <w:t>释义</w:t>
      </w:r>
    </w:p>
    <w:p w14:paraId="297122B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6ECEFCE5">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温盈”20039号开放式净值型银行理财计划</w:t>
      </w:r>
    </w:p>
    <w:p w14:paraId="071BF302">
      <w:pPr>
        <w:adjustRightInd w:val="0"/>
        <w:snapToGrid w:val="0"/>
        <w:spacing w:line="288" w:lineRule="auto"/>
        <w:rPr>
          <w:sz w:val="18"/>
          <w:szCs w:val="18"/>
        </w:rPr>
      </w:pPr>
      <w:r>
        <w:rPr>
          <w:rFonts w:hint="eastAsia"/>
          <w:sz w:val="18"/>
          <w:szCs w:val="18"/>
        </w:rPr>
        <w:t>发行银行：指温州银行股份有限公司</w:t>
      </w:r>
    </w:p>
    <w:p w14:paraId="49A633EF">
      <w:pPr>
        <w:adjustRightInd w:val="0"/>
        <w:snapToGrid w:val="0"/>
        <w:spacing w:line="288" w:lineRule="auto"/>
        <w:rPr>
          <w:sz w:val="18"/>
          <w:szCs w:val="18"/>
        </w:rPr>
      </w:pPr>
      <w:r>
        <w:rPr>
          <w:rFonts w:hint="eastAsia"/>
          <w:sz w:val="18"/>
          <w:szCs w:val="18"/>
        </w:rPr>
        <w:t>产品托管人：具有证券投资基金托管业务资格的商业银行</w:t>
      </w:r>
    </w:p>
    <w:p w14:paraId="2D1AEF7A">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43E94F2">
      <w:pPr>
        <w:widowControl/>
        <w:adjustRightInd w:val="0"/>
        <w:snapToGrid w:val="0"/>
        <w:spacing w:line="300" w:lineRule="auto"/>
        <w:outlineLvl w:val="0"/>
        <w:rPr>
          <w:b/>
          <w:sz w:val="18"/>
          <w:szCs w:val="18"/>
        </w:rPr>
      </w:pPr>
      <w:r>
        <w:rPr>
          <w:rFonts w:hint="eastAsia"/>
          <w:b/>
          <w:sz w:val="18"/>
          <w:szCs w:val="18"/>
        </w:rPr>
        <w:t>产品风险评级：PR2</w:t>
      </w:r>
    </w:p>
    <w:p w14:paraId="7FBB21C4">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970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FA61BFC">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4D3B1FF">
            <w:pPr>
              <w:widowControl/>
              <w:adjustRightInd w:val="0"/>
              <w:snapToGrid w:val="0"/>
              <w:spacing w:line="300" w:lineRule="auto"/>
              <w:outlineLvl w:val="0"/>
              <w:rPr>
                <w:b/>
                <w:sz w:val="18"/>
                <w:szCs w:val="18"/>
              </w:rPr>
            </w:pPr>
            <w:r>
              <w:rPr>
                <w:rFonts w:hint="eastAsia"/>
                <w:b/>
                <w:sz w:val="18"/>
                <w:szCs w:val="18"/>
              </w:rPr>
              <w:t>激进型产品</w:t>
            </w:r>
          </w:p>
        </w:tc>
      </w:tr>
      <w:tr w14:paraId="1ABE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1ECBFA3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66C7DA4">
            <w:pPr>
              <w:widowControl/>
              <w:adjustRightInd w:val="0"/>
              <w:snapToGrid w:val="0"/>
              <w:spacing w:line="300" w:lineRule="auto"/>
              <w:outlineLvl w:val="0"/>
              <w:rPr>
                <w:b/>
                <w:sz w:val="18"/>
                <w:szCs w:val="18"/>
              </w:rPr>
            </w:pPr>
            <w:r>
              <w:rPr>
                <w:rFonts w:hint="eastAsia"/>
                <w:b/>
                <w:sz w:val="18"/>
                <w:szCs w:val="18"/>
              </w:rPr>
              <w:t>进取型产品</w:t>
            </w:r>
          </w:p>
        </w:tc>
      </w:tr>
      <w:tr w14:paraId="53A5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B810562">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B23E778">
            <w:pPr>
              <w:widowControl/>
              <w:adjustRightInd w:val="0"/>
              <w:snapToGrid w:val="0"/>
              <w:spacing w:line="300" w:lineRule="auto"/>
              <w:outlineLvl w:val="0"/>
              <w:rPr>
                <w:b/>
                <w:sz w:val="18"/>
                <w:szCs w:val="18"/>
              </w:rPr>
            </w:pPr>
            <w:r>
              <w:rPr>
                <w:rFonts w:hint="eastAsia"/>
                <w:b/>
                <w:sz w:val="18"/>
                <w:szCs w:val="18"/>
              </w:rPr>
              <w:t>平衡型产品</w:t>
            </w:r>
          </w:p>
        </w:tc>
      </w:tr>
      <w:tr w14:paraId="5CC8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923EADC">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07A828F4">
            <w:pPr>
              <w:widowControl/>
              <w:adjustRightInd w:val="0"/>
              <w:snapToGrid w:val="0"/>
              <w:spacing w:line="300" w:lineRule="auto"/>
              <w:outlineLvl w:val="0"/>
              <w:rPr>
                <w:b/>
                <w:sz w:val="18"/>
                <w:szCs w:val="18"/>
              </w:rPr>
            </w:pPr>
            <w:r>
              <w:rPr>
                <w:rFonts w:hint="eastAsia"/>
                <w:b/>
                <w:sz w:val="18"/>
                <w:szCs w:val="18"/>
              </w:rPr>
              <w:t>稳健型产品</w:t>
            </w:r>
          </w:p>
        </w:tc>
      </w:tr>
      <w:tr w14:paraId="3633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7919AD18">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658C448">
            <w:pPr>
              <w:widowControl/>
              <w:adjustRightInd w:val="0"/>
              <w:snapToGrid w:val="0"/>
              <w:spacing w:line="300" w:lineRule="auto"/>
              <w:outlineLvl w:val="0"/>
              <w:rPr>
                <w:b/>
                <w:sz w:val="18"/>
                <w:szCs w:val="18"/>
              </w:rPr>
            </w:pPr>
            <w:r>
              <w:rPr>
                <w:rFonts w:hint="eastAsia"/>
                <w:b/>
                <w:sz w:val="18"/>
                <w:szCs w:val="18"/>
              </w:rPr>
              <w:t>谨慎型产品</w:t>
            </w:r>
          </w:p>
        </w:tc>
      </w:tr>
    </w:tbl>
    <w:p w14:paraId="292BE7C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62EBFBD">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162EBFBD">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656703">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1B5146D4">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BFA6D3">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2092B11">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35585C">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7CDC6BE5">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58656703">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B5146D4">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FBFA6D3">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2092B11">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2735585C">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7CDC6BE5">
                        <w:pPr>
                          <w:jc w:val="center"/>
                          <w:rPr>
                            <w:sz w:val="18"/>
                            <w:szCs w:val="18"/>
                          </w:rPr>
                        </w:pPr>
                        <w:r>
                          <w:rPr>
                            <w:rFonts w:hint="eastAsia"/>
                            <w:sz w:val="18"/>
                            <w:szCs w:val="18"/>
                          </w:rPr>
                          <w:t>风险程度</w:t>
                        </w:r>
                      </w:p>
                    </w:txbxContent>
                  </v:textbox>
                </v:rect>
                <w10:wrap type="none"/>
                <w10:anchorlock/>
              </v:group>
            </w:pict>
          </mc:Fallback>
        </mc:AlternateContent>
      </w:r>
    </w:p>
    <w:p w14:paraId="674F722D">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4546C3D9">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4713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75C13E2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F772A0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20039</w:t>
            </w:r>
            <w:r>
              <w:rPr>
                <w:rFonts w:hint="eastAsia"/>
                <w:sz w:val="18"/>
                <w:szCs w:val="18"/>
              </w:rPr>
              <w:t>号开放式净值型银行理财计划</w:t>
            </w:r>
          </w:p>
        </w:tc>
      </w:tr>
      <w:tr w14:paraId="7E84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6C8CE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0CDBBEFA">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YJ2039</w:t>
            </w:r>
          </w:p>
        </w:tc>
      </w:tr>
      <w:tr w14:paraId="1528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F677DA">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60EF3861">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C1092220000090</w:t>
            </w:r>
          </w:p>
          <w:p w14:paraId="335C7644">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1C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91E4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2E3831EC">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13B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A2B548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5E5643D">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2440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381B9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AEB8D9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0B96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0A834A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0EEAC6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7ABA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DA0C5A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2F3F26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4A9E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931FD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21B790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BFC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C8A7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46CD270B">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2020年4月15日</w:t>
            </w:r>
            <w:r>
              <w:rPr>
                <w:rFonts w:hint="eastAsia"/>
                <w:sz w:val="18"/>
                <w:szCs w:val="18"/>
                <w:u w:val="single"/>
              </w:rPr>
              <w:t>至</w:t>
            </w:r>
            <w:r>
              <w:rPr>
                <w:rFonts w:hint="eastAsia"/>
                <w:color w:val="000000"/>
                <w:sz w:val="18"/>
                <w:szCs w:val="18"/>
                <w:u w:val="single"/>
                <w:lang w:val="en-US" w:eastAsia="zh-CN"/>
              </w:rPr>
              <w:t>2020年4月21日</w:t>
            </w:r>
            <w:bookmarkStart w:id="0" w:name="_GoBack"/>
            <w:bookmarkEnd w:id="0"/>
          </w:p>
        </w:tc>
      </w:tr>
      <w:tr w14:paraId="7647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C74315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E8F4F28">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337A894C">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0C0A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63FF3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68719131">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7E3A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08CC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5BC892E8">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2F51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9C82D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E897066">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68F6DD70">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4B41ED6E">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6ECB70F8">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2086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88709C">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78F82D57">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5D9C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C558E9">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40CFE66D">
            <w:pPr>
              <w:autoSpaceDN w:val="0"/>
              <w:jc w:val="left"/>
              <w:rPr>
                <w:rFonts w:ascii="宋体" w:hAnsi="宋体"/>
                <w:sz w:val="18"/>
              </w:rPr>
            </w:pPr>
            <w:r>
              <w:rPr>
                <w:rFonts w:hint="eastAsia" w:ascii="宋体" w:hAnsi="宋体"/>
                <w:sz w:val="18"/>
              </w:rPr>
              <w:t>单一投资者累计最大购买金额2000万元。</w:t>
            </w:r>
          </w:p>
          <w:p w14:paraId="6A3BC1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381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3B99EA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7A4CEAC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B74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EAC08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268F93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1D4D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C00251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90873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800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C16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1445D11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7D0C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A3CD415">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ECC201E">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6636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8F0EAC4">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6D1F60EF">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89C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876C35A">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E6712E0">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0267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48744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01A9E87">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21F94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A80FFC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B9A57D8">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C20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728148">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AEEEB4F">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3E1A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D591D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344DBC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0B7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0D7AEF4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2F605F3A">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4CEE1B4F">
      <w:pPr>
        <w:adjustRightInd w:val="0"/>
        <w:snapToGrid w:val="0"/>
        <w:spacing w:before="156" w:beforeLines="50" w:line="288" w:lineRule="auto"/>
        <w:rPr>
          <w:b/>
          <w:sz w:val="18"/>
          <w:szCs w:val="18"/>
        </w:rPr>
      </w:pPr>
      <w:r>
        <w:rPr>
          <w:rFonts w:hint="eastAsia"/>
          <w:b/>
          <w:sz w:val="18"/>
          <w:szCs w:val="18"/>
        </w:rPr>
        <w:t>投资管理</w:t>
      </w:r>
    </w:p>
    <w:p w14:paraId="09BEA486">
      <w:pPr>
        <w:adjustRightInd w:val="0"/>
        <w:snapToGrid w:val="0"/>
        <w:spacing w:line="300" w:lineRule="auto"/>
        <w:rPr>
          <w:sz w:val="18"/>
          <w:szCs w:val="18"/>
        </w:rPr>
      </w:pPr>
      <w:r>
        <w:rPr>
          <w:rFonts w:hint="eastAsia"/>
          <w:sz w:val="18"/>
          <w:szCs w:val="18"/>
        </w:rPr>
        <w:t>1、投资范围</w:t>
      </w:r>
    </w:p>
    <w:p w14:paraId="68C49D73">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1E0ED6AA">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494173A2">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5117178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684D1BC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1757BCE">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721E8E49">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1B79ED29">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6C42730E">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9D0CCAE">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6974B1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67BDA241">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05C97577">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9C8366F">
            <w:pPr>
              <w:widowControl/>
              <w:jc w:val="left"/>
              <w:rPr>
                <w:rFonts w:ascii="宋体" w:hAnsi="宋体" w:cs="宋体"/>
                <w:color w:val="000000"/>
                <w:kern w:val="0"/>
                <w:sz w:val="18"/>
                <w:szCs w:val="18"/>
              </w:rPr>
            </w:pPr>
          </w:p>
        </w:tc>
      </w:tr>
      <w:tr w14:paraId="002BC3C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55FB80A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71731E9E">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89D7B8D">
            <w:pPr>
              <w:widowControl/>
              <w:jc w:val="left"/>
              <w:rPr>
                <w:rFonts w:ascii="宋体" w:hAnsi="宋体" w:cs="宋体"/>
                <w:color w:val="000000"/>
                <w:kern w:val="0"/>
                <w:sz w:val="18"/>
                <w:szCs w:val="18"/>
              </w:rPr>
            </w:pPr>
          </w:p>
        </w:tc>
      </w:tr>
      <w:tr w14:paraId="6634D8C2">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746D48C6">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14:paraId="3F62594D">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7D6A9012">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4C939DD3">
      <w:pPr>
        <w:adjustRightInd w:val="0"/>
        <w:snapToGrid w:val="0"/>
        <w:spacing w:line="286" w:lineRule="auto"/>
        <w:rPr>
          <w:sz w:val="18"/>
          <w:szCs w:val="18"/>
        </w:rPr>
      </w:pPr>
      <w:r>
        <w:rPr>
          <w:rFonts w:hint="eastAsia"/>
          <w:sz w:val="18"/>
          <w:szCs w:val="18"/>
        </w:rPr>
        <w:t>本理财产品的杠杆水平不超过140%。</w:t>
      </w:r>
    </w:p>
    <w:p w14:paraId="0CC1F9B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C2680FC">
      <w:pPr>
        <w:adjustRightInd w:val="0"/>
        <w:snapToGrid w:val="0"/>
        <w:spacing w:line="286" w:lineRule="auto"/>
        <w:rPr>
          <w:sz w:val="18"/>
          <w:szCs w:val="18"/>
        </w:rPr>
      </w:pPr>
      <w:r>
        <w:rPr>
          <w:rFonts w:hint="eastAsia"/>
          <w:sz w:val="18"/>
          <w:szCs w:val="18"/>
        </w:rPr>
        <w:t>3、投资策略</w:t>
      </w:r>
    </w:p>
    <w:p w14:paraId="4F9536AA">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498D4E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623E367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6431CE1">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49C51747">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E2DB7B1">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23A2986D">
      <w:pPr>
        <w:adjustRightInd w:val="0"/>
        <w:snapToGrid w:val="0"/>
        <w:spacing w:line="281" w:lineRule="auto"/>
        <w:rPr>
          <w:b/>
          <w:sz w:val="18"/>
          <w:szCs w:val="18"/>
        </w:rPr>
      </w:pPr>
      <w:r>
        <w:rPr>
          <w:rFonts w:hint="eastAsia"/>
          <w:b/>
          <w:sz w:val="18"/>
          <w:szCs w:val="18"/>
        </w:rPr>
        <w:t>产品销售</w:t>
      </w:r>
    </w:p>
    <w:p w14:paraId="700C3B3C">
      <w:pPr>
        <w:adjustRightInd w:val="0"/>
        <w:snapToGrid w:val="0"/>
        <w:spacing w:line="281" w:lineRule="auto"/>
        <w:rPr>
          <w:sz w:val="18"/>
          <w:szCs w:val="18"/>
        </w:rPr>
      </w:pPr>
      <w:r>
        <w:rPr>
          <w:rFonts w:hint="eastAsia"/>
          <w:sz w:val="18"/>
          <w:szCs w:val="18"/>
        </w:rPr>
        <w:t>销售地区范围包括浙江省、上海地区等。</w:t>
      </w:r>
    </w:p>
    <w:p w14:paraId="47727FE6">
      <w:pPr>
        <w:adjustRightInd w:val="0"/>
        <w:snapToGrid w:val="0"/>
        <w:spacing w:line="286" w:lineRule="auto"/>
        <w:rPr>
          <w:b/>
          <w:bCs/>
          <w:sz w:val="18"/>
          <w:szCs w:val="18"/>
        </w:rPr>
      </w:pPr>
      <w:r>
        <w:rPr>
          <w:rFonts w:hint="eastAsia"/>
          <w:b/>
          <w:bCs/>
          <w:sz w:val="18"/>
          <w:szCs w:val="18"/>
        </w:rPr>
        <w:t>投资管理人</w:t>
      </w:r>
    </w:p>
    <w:p w14:paraId="6C2873EE">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5029182D">
      <w:pPr>
        <w:adjustRightInd w:val="0"/>
        <w:snapToGrid w:val="0"/>
        <w:spacing w:line="286" w:lineRule="auto"/>
        <w:rPr>
          <w:b/>
          <w:bCs/>
          <w:sz w:val="18"/>
          <w:szCs w:val="18"/>
        </w:rPr>
      </w:pPr>
      <w:r>
        <w:rPr>
          <w:rFonts w:hint="eastAsia"/>
          <w:b/>
          <w:bCs/>
          <w:sz w:val="18"/>
          <w:szCs w:val="18"/>
        </w:rPr>
        <w:t>产品托管人</w:t>
      </w:r>
    </w:p>
    <w:p w14:paraId="0705D92A">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E405D57">
      <w:pPr>
        <w:adjustRightInd w:val="0"/>
        <w:snapToGrid w:val="0"/>
        <w:spacing w:line="286" w:lineRule="auto"/>
        <w:rPr>
          <w:b/>
          <w:bCs/>
          <w:sz w:val="18"/>
          <w:szCs w:val="18"/>
        </w:rPr>
      </w:pPr>
      <w:r>
        <w:rPr>
          <w:rFonts w:hint="eastAsia"/>
          <w:b/>
          <w:bCs/>
          <w:sz w:val="18"/>
          <w:szCs w:val="18"/>
        </w:rPr>
        <w:t>投资合作机构</w:t>
      </w:r>
    </w:p>
    <w:p w14:paraId="201B5107">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62DA79C0">
      <w:pPr>
        <w:adjustRightInd w:val="0"/>
        <w:snapToGrid w:val="0"/>
        <w:spacing w:line="286" w:lineRule="auto"/>
        <w:rPr>
          <w:b/>
          <w:bCs/>
          <w:sz w:val="18"/>
          <w:szCs w:val="18"/>
        </w:rPr>
      </w:pPr>
      <w:r>
        <w:rPr>
          <w:rFonts w:hint="eastAsia"/>
          <w:b/>
          <w:bCs/>
          <w:sz w:val="18"/>
          <w:szCs w:val="18"/>
        </w:rPr>
        <w:t>理财产品估值</w:t>
      </w:r>
    </w:p>
    <w:p w14:paraId="1D1E2765">
      <w:pPr>
        <w:adjustRightInd w:val="0"/>
        <w:snapToGrid w:val="0"/>
        <w:spacing w:line="286" w:lineRule="auto"/>
        <w:rPr>
          <w:sz w:val="18"/>
          <w:szCs w:val="18"/>
        </w:rPr>
      </w:pPr>
      <w:r>
        <w:rPr>
          <w:rFonts w:hint="eastAsia"/>
          <w:sz w:val="18"/>
          <w:szCs w:val="18"/>
        </w:rPr>
        <w:t xml:space="preserve">【估值日】 </w:t>
      </w:r>
    </w:p>
    <w:p w14:paraId="4913C0B8">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03ABF768">
      <w:pPr>
        <w:adjustRightInd w:val="0"/>
        <w:snapToGrid w:val="0"/>
        <w:spacing w:line="286" w:lineRule="auto"/>
        <w:rPr>
          <w:sz w:val="18"/>
          <w:szCs w:val="18"/>
        </w:rPr>
      </w:pPr>
      <w:r>
        <w:rPr>
          <w:rFonts w:hint="eastAsia"/>
          <w:sz w:val="18"/>
          <w:szCs w:val="18"/>
        </w:rPr>
        <w:t>【估值对象】</w:t>
      </w:r>
    </w:p>
    <w:p w14:paraId="0626B021">
      <w:pPr>
        <w:adjustRightInd w:val="0"/>
        <w:snapToGrid w:val="0"/>
        <w:spacing w:line="286" w:lineRule="auto"/>
        <w:rPr>
          <w:sz w:val="18"/>
          <w:szCs w:val="18"/>
        </w:rPr>
      </w:pPr>
      <w:r>
        <w:rPr>
          <w:rFonts w:hint="eastAsia"/>
          <w:sz w:val="18"/>
          <w:szCs w:val="18"/>
        </w:rPr>
        <w:t xml:space="preserve"> 本理财产品所拥有的投资资产。</w:t>
      </w:r>
    </w:p>
    <w:p w14:paraId="6E9FE73F">
      <w:pPr>
        <w:adjustRightInd w:val="0"/>
        <w:snapToGrid w:val="0"/>
        <w:spacing w:line="286" w:lineRule="auto"/>
        <w:rPr>
          <w:sz w:val="18"/>
          <w:szCs w:val="18"/>
        </w:rPr>
      </w:pPr>
      <w:r>
        <w:rPr>
          <w:rFonts w:hint="eastAsia"/>
          <w:sz w:val="18"/>
          <w:szCs w:val="18"/>
        </w:rPr>
        <w:t xml:space="preserve">【估值目的】 </w:t>
      </w:r>
    </w:p>
    <w:p w14:paraId="5E242E55">
      <w:pPr>
        <w:adjustRightInd w:val="0"/>
        <w:snapToGrid w:val="0"/>
        <w:spacing w:line="286" w:lineRule="auto"/>
        <w:rPr>
          <w:sz w:val="18"/>
          <w:szCs w:val="18"/>
        </w:rPr>
      </w:pPr>
      <w:r>
        <w:rPr>
          <w:rFonts w:hint="eastAsia"/>
          <w:sz w:val="18"/>
          <w:szCs w:val="18"/>
        </w:rPr>
        <w:t xml:space="preserve">客观、准确反映理财产品的价值。 </w:t>
      </w:r>
    </w:p>
    <w:p w14:paraId="45C2DE1F">
      <w:pPr>
        <w:adjustRightInd w:val="0"/>
        <w:snapToGrid w:val="0"/>
        <w:spacing w:line="286" w:lineRule="auto"/>
        <w:rPr>
          <w:sz w:val="18"/>
          <w:szCs w:val="18"/>
        </w:rPr>
      </w:pPr>
      <w:r>
        <w:rPr>
          <w:rFonts w:hint="eastAsia"/>
          <w:sz w:val="18"/>
          <w:szCs w:val="18"/>
        </w:rPr>
        <w:t xml:space="preserve">【估值方法】 </w:t>
      </w:r>
    </w:p>
    <w:p w14:paraId="05590A14">
      <w:pPr>
        <w:adjustRightInd w:val="0"/>
        <w:snapToGrid w:val="0"/>
        <w:spacing w:line="286" w:lineRule="auto"/>
        <w:rPr>
          <w:sz w:val="18"/>
          <w:szCs w:val="18"/>
        </w:rPr>
      </w:pPr>
      <w:r>
        <w:rPr>
          <w:rFonts w:hint="eastAsia"/>
          <w:sz w:val="18"/>
          <w:szCs w:val="18"/>
        </w:rPr>
        <w:t>1、货币市场工具：</w:t>
      </w:r>
    </w:p>
    <w:p w14:paraId="496A343A">
      <w:pPr>
        <w:adjustRightInd w:val="0"/>
        <w:snapToGrid w:val="0"/>
        <w:spacing w:line="286" w:lineRule="auto"/>
        <w:rPr>
          <w:sz w:val="18"/>
          <w:szCs w:val="18"/>
        </w:rPr>
      </w:pPr>
      <w:r>
        <w:rPr>
          <w:rFonts w:hint="eastAsia"/>
          <w:sz w:val="18"/>
          <w:szCs w:val="18"/>
        </w:rPr>
        <w:t>（1）银行存款类资产及债券回购以本金列示、逐日计提利息。</w:t>
      </w:r>
    </w:p>
    <w:p w14:paraId="0FF67AA9">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212288B8">
      <w:pPr>
        <w:adjustRightInd w:val="0"/>
        <w:snapToGrid w:val="0"/>
        <w:spacing w:line="286" w:lineRule="auto"/>
        <w:rPr>
          <w:sz w:val="18"/>
          <w:szCs w:val="18"/>
        </w:rPr>
      </w:pPr>
      <w:r>
        <w:rPr>
          <w:rFonts w:hint="eastAsia"/>
          <w:sz w:val="18"/>
          <w:szCs w:val="18"/>
        </w:rPr>
        <w:t>2、债券类资产：</w:t>
      </w:r>
    </w:p>
    <w:p w14:paraId="351D776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32C0DF3">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C045853">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B7E8530">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A65A366">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1F141AB">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8523096">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2FDE86C7">
      <w:pPr>
        <w:adjustRightInd w:val="0"/>
        <w:snapToGrid w:val="0"/>
        <w:spacing w:line="286" w:lineRule="auto"/>
        <w:rPr>
          <w:sz w:val="18"/>
          <w:szCs w:val="18"/>
        </w:rPr>
      </w:pPr>
      <w:r>
        <w:rPr>
          <w:rFonts w:hint="eastAsia"/>
          <w:sz w:val="18"/>
          <w:szCs w:val="18"/>
        </w:rPr>
        <w:t>5、其他资产：</w:t>
      </w:r>
    </w:p>
    <w:p w14:paraId="4280871F">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F772209">
      <w:pPr>
        <w:adjustRightInd w:val="0"/>
        <w:snapToGrid w:val="0"/>
        <w:spacing w:line="286" w:lineRule="auto"/>
        <w:rPr>
          <w:sz w:val="18"/>
          <w:szCs w:val="18"/>
        </w:rPr>
      </w:pPr>
      <w:r>
        <w:rPr>
          <w:rFonts w:hint="eastAsia"/>
          <w:sz w:val="18"/>
          <w:szCs w:val="18"/>
        </w:rPr>
        <w:t>6、其他事项</w:t>
      </w:r>
    </w:p>
    <w:p w14:paraId="5DBA27D9">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B08DC1E">
      <w:pPr>
        <w:adjustRightInd w:val="0"/>
        <w:snapToGrid w:val="0"/>
        <w:spacing w:line="286" w:lineRule="auto"/>
        <w:rPr>
          <w:sz w:val="18"/>
          <w:szCs w:val="18"/>
        </w:rPr>
      </w:pPr>
      <w:r>
        <w:rPr>
          <w:rFonts w:hint="eastAsia"/>
          <w:sz w:val="18"/>
          <w:szCs w:val="18"/>
        </w:rPr>
        <w:t>【估值错误处理】</w:t>
      </w:r>
    </w:p>
    <w:p w14:paraId="0F65B63B">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F46AB12">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DE53724">
      <w:pPr>
        <w:adjustRightInd w:val="0"/>
        <w:snapToGrid w:val="0"/>
        <w:spacing w:line="286" w:lineRule="auto"/>
        <w:rPr>
          <w:sz w:val="18"/>
          <w:szCs w:val="18"/>
        </w:rPr>
      </w:pPr>
      <w:r>
        <w:rPr>
          <w:rFonts w:hint="eastAsia"/>
          <w:sz w:val="18"/>
          <w:szCs w:val="18"/>
        </w:rPr>
        <w:t>【暂停估值】</w:t>
      </w:r>
    </w:p>
    <w:p w14:paraId="523A066A">
      <w:pPr>
        <w:adjustRightInd w:val="0"/>
        <w:snapToGrid w:val="0"/>
        <w:spacing w:line="286" w:lineRule="auto"/>
        <w:rPr>
          <w:sz w:val="18"/>
          <w:szCs w:val="18"/>
        </w:rPr>
      </w:pPr>
      <w:r>
        <w:rPr>
          <w:rFonts w:hint="eastAsia"/>
          <w:sz w:val="18"/>
          <w:szCs w:val="18"/>
        </w:rPr>
        <w:t>本理财计划可暂停估值的情形如下：</w:t>
      </w:r>
    </w:p>
    <w:p w14:paraId="29A0E782">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97577E2">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7E5C9CB2">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2AE6828">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744BC692">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379BE22">
      <w:pPr>
        <w:adjustRightInd w:val="0"/>
        <w:snapToGrid w:val="0"/>
        <w:spacing w:line="286" w:lineRule="auto"/>
        <w:rPr>
          <w:b/>
          <w:sz w:val="18"/>
          <w:szCs w:val="18"/>
        </w:rPr>
      </w:pPr>
      <w:r>
        <w:rPr>
          <w:rFonts w:hint="eastAsia"/>
          <w:b/>
          <w:sz w:val="18"/>
          <w:szCs w:val="18"/>
        </w:rPr>
        <w:t>理财收益测算及相关费用</w:t>
      </w:r>
    </w:p>
    <w:p w14:paraId="515557E2">
      <w:pPr>
        <w:adjustRightInd w:val="0"/>
        <w:snapToGrid w:val="0"/>
        <w:spacing w:line="286" w:lineRule="auto"/>
        <w:rPr>
          <w:sz w:val="18"/>
          <w:szCs w:val="18"/>
        </w:rPr>
      </w:pPr>
      <w:r>
        <w:rPr>
          <w:rFonts w:hint="eastAsia"/>
          <w:sz w:val="18"/>
          <w:szCs w:val="18"/>
        </w:rPr>
        <w:t>【业绩比较基准】</w:t>
      </w:r>
    </w:p>
    <w:p w14:paraId="3CC596C9">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《温州银行“金鹿理财-温盈”20039号开放式净值型（第i期）银行理财计划开放认购（申购）申请书》。投资运作周期到期时，该周期内的资金收益情况根据所投资资产组合的实际运作情况确定。</w:t>
      </w:r>
    </w:p>
    <w:p w14:paraId="042DCD88">
      <w:pPr>
        <w:adjustRightInd w:val="0"/>
        <w:snapToGrid w:val="0"/>
        <w:spacing w:line="286" w:lineRule="auto"/>
        <w:rPr>
          <w:sz w:val="18"/>
          <w:szCs w:val="18"/>
        </w:rPr>
      </w:pPr>
      <w:r>
        <w:rPr>
          <w:rFonts w:hint="eastAsia"/>
          <w:sz w:val="18"/>
          <w:szCs w:val="18"/>
        </w:rPr>
        <w:t>【理财产品单位净值】</w:t>
      </w:r>
    </w:p>
    <w:p w14:paraId="5F0AB2EB">
      <w:pPr>
        <w:adjustRightInd w:val="0"/>
        <w:snapToGrid w:val="0"/>
        <w:spacing w:line="286" w:lineRule="auto"/>
        <w:rPr>
          <w:sz w:val="18"/>
          <w:szCs w:val="18"/>
        </w:rPr>
      </w:pPr>
      <w:r>
        <w:rPr>
          <w:rFonts w:hint="eastAsia"/>
          <w:sz w:val="18"/>
          <w:szCs w:val="18"/>
        </w:rPr>
        <w:t>理财产品单位净值=理财产品净值÷理财产品份额</w:t>
      </w:r>
    </w:p>
    <w:p w14:paraId="6DC32BBA">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121B0177">
      <w:pPr>
        <w:adjustRightInd w:val="0"/>
        <w:snapToGrid w:val="0"/>
        <w:spacing w:line="286" w:lineRule="auto"/>
        <w:rPr>
          <w:sz w:val="18"/>
          <w:szCs w:val="18"/>
        </w:rPr>
      </w:pPr>
      <w:r>
        <w:rPr>
          <w:rFonts w:hint="eastAsia"/>
          <w:sz w:val="18"/>
          <w:szCs w:val="18"/>
        </w:rPr>
        <w:t>【理财计划申购、赎回】</w:t>
      </w:r>
    </w:p>
    <w:p w14:paraId="52D287F9">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14:paraId="35C8A2CB">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37DB8D2E">
      <w:pPr>
        <w:adjustRightInd w:val="0"/>
        <w:snapToGrid w:val="0"/>
        <w:spacing w:line="286" w:lineRule="auto"/>
        <w:rPr>
          <w:sz w:val="18"/>
          <w:szCs w:val="18"/>
        </w:rPr>
      </w:pPr>
      <w:r>
        <w:rPr>
          <w:sz w:val="18"/>
          <w:szCs w:val="18"/>
        </w:rPr>
        <w:t>3.</w:t>
      </w:r>
      <w:r>
        <w:rPr>
          <w:rFonts w:hint="eastAsia"/>
          <w:sz w:val="18"/>
          <w:szCs w:val="18"/>
        </w:rPr>
        <w:t>申购、赎回原则</w:t>
      </w:r>
    </w:p>
    <w:p w14:paraId="7A388C6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22E9557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00CA2B9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14F8A3E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4AC63B69">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A7EC826">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1F64A4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2AC13FC6">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0A528D0D">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34B02388">
      <w:pPr>
        <w:adjustRightInd w:val="0"/>
        <w:snapToGrid w:val="0"/>
        <w:spacing w:line="286" w:lineRule="auto"/>
        <w:rPr>
          <w:sz w:val="18"/>
          <w:szCs w:val="18"/>
        </w:rPr>
      </w:pPr>
      <w:r>
        <w:rPr>
          <w:rFonts w:hint="eastAsia"/>
          <w:sz w:val="18"/>
          <w:szCs w:val="18"/>
        </w:rPr>
        <w:t>（10）巨额赎回：</w:t>
      </w:r>
    </w:p>
    <w:p w14:paraId="0B4D3253">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373A1E0B">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00C2E856">
      <w:pPr>
        <w:adjustRightInd w:val="0"/>
        <w:snapToGrid w:val="0"/>
        <w:spacing w:line="286" w:lineRule="auto"/>
        <w:rPr>
          <w:sz w:val="18"/>
          <w:szCs w:val="18"/>
        </w:rPr>
      </w:pPr>
      <w:r>
        <w:rPr>
          <w:rFonts w:hint="eastAsia"/>
          <w:sz w:val="18"/>
          <w:szCs w:val="18"/>
        </w:rPr>
        <w:t>2）巨额赎回处理</w:t>
      </w:r>
    </w:p>
    <w:p w14:paraId="0F7A5E9E">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3A2D88B1">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75E1DF78">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75CB78F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F8A7EF">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5DDC824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4EF35C40">
      <w:pPr>
        <w:numPr>
          <w:ilvl w:val="0"/>
          <w:numId w:val="2"/>
        </w:numPr>
        <w:adjustRightInd w:val="0"/>
        <w:snapToGrid w:val="0"/>
        <w:spacing w:line="286" w:lineRule="auto"/>
        <w:rPr>
          <w:sz w:val="18"/>
          <w:szCs w:val="18"/>
        </w:rPr>
      </w:pPr>
      <w:r>
        <w:rPr>
          <w:rFonts w:hint="eastAsia"/>
          <w:sz w:val="18"/>
          <w:szCs w:val="18"/>
        </w:rPr>
        <w:t>摆动定价机制</w:t>
      </w:r>
    </w:p>
    <w:p w14:paraId="6639AFC1">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25C396E2">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3C3D1CAD">
      <w:pPr>
        <w:adjustRightInd w:val="0"/>
        <w:snapToGrid w:val="0"/>
        <w:spacing w:line="286" w:lineRule="auto"/>
        <w:rPr>
          <w:sz w:val="18"/>
          <w:szCs w:val="18"/>
        </w:rPr>
      </w:pPr>
      <w:r>
        <w:rPr>
          <w:rFonts w:hint="eastAsia"/>
          <w:sz w:val="18"/>
          <w:szCs w:val="18"/>
        </w:rPr>
        <w:t>（</w:t>
      </w:r>
      <w:r>
        <w:rPr>
          <w:sz w:val="18"/>
          <w:szCs w:val="18"/>
        </w:rPr>
        <w:t>1）申购、赎回的申请方式</w:t>
      </w:r>
    </w:p>
    <w:p w14:paraId="466192D3">
      <w:pPr>
        <w:adjustRightInd w:val="0"/>
        <w:snapToGrid w:val="0"/>
        <w:spacing w:line="286" w:lineRule="auto"/>
        <w:rPr>
          <w:sz w:val="18"/>
          <w:szCs w:val="18"/>
        </w:rPr>
      </w:pPr>
      <w:r>
        <w:rPr>
          <w:rFonts w:hint="eastAsia"/>
          <w:sz w:val="18"/>
          <w:szCs w:val="18"/>
        </w:rPr>
        <w:t>投资者必须在开放期内提出申购、赎回的申请。</w:t>
      </w:r>
    </w:p>
    <w:p w14:paraId="113A9FF6">
      <w:pPr>
        <w:adjustRightInd w:val="0"/>
        <w:snapToGrid w:val="0"/>
        <w:spacing w:line="286" w:lineRule="auto"/>
        <w:rPr>
          <w:sz w:val="18"/>
          <w:szCs w:val="18"/>
        </w:rPr>
      </w:pPr>
      <w:r>
        <w:rPr>
          <w:rFonts w:hint="eastAsia"/>
          <w:sz w:val="18"/>
          <w:szCs w:val="18"/>
        </w:rPr>
        <w:t>投资者在提交申购申请时，须备足申购资金。</w:t>
      </w:r>
    </w:p>
    <w:p w14:paraId="13037439">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038314BA">
      <w:pPr>
        <w:adjustRightInd w:val="0"/>
        <w:snapToGrid w:val="0"/>
        <w:spacing w:line="286" w:lineRule="auto"/>
        <w:rPr>
          <w:sz w:val="18"/>
          <w:szCs w:val="18"/>
        </w:rPr>
      </w:pPr>
      <w:r>
        <w:rPr>
          <w:rFonts w:hint="eastAsia"/>
          <w:sz w:val="18"/>
          <w:szCs w:val="18"/>
        </w:rPr>
        <w:t>（2）申购、赎回的支付</w:t>
      </w:r>
    </w:p>
    <w:p w14:paraId="5EF19A4A">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025350FB">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6D3903D">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8E13409">
      <w:pPr>
        <w:adjustRightInd w:val="0"/>
        <w:snapToGrid w:val="0"/>
        <w:spacing w:line="286" w:lineRule="auto"/>
        <w:rPr>
          <w:sz w:val="18"/>
          <w:szCs w:val="18"/>
        </w:rPr>
      </w:pPr>
      <w:r>
        <w:rPr>
          <w:rFonts w:hint="eastAsia"/>
          <w:sz w:val="18"/>
          <w:szCs w:val="18"/>
        </w:rPr>
        <w:t>（1）申购份额的计算</w:t>
      </w:r>
    </w:p>
    <w:p w14:paraId="65D1C43B">
      <w:pPr>
        <w:adjustRightInd w:val="0"/>
        <w:snapToGrid w:val="0"/>
        <w:spacing w:line="286" w:lineRule="auto"/>
        <w:rPr>
          <w:sz w:val="18"/>
          <w:szCs w:val="18"/>
        </w:rPr>
      </w:pPr>
      <w:r>
        <w:rPr>
          <w:rFonts w:hint="eastAsia"/>
          <w:sz w:val="18"/>
          <w:szCs w:val="18"/>
        </w:rPr>
        <w:t>本理财计划申购份额的具体计算方法如下：</w:t>
      </w:r>
    </w:p>
    <w:p w14:paraId="5E7CF521">
      <w:pPr>
        <w:adjustRightInd w:val="0"/>
        <w:snapToGrid w:val="0"/>
        <w:spacing w:line="286" w:lineRule="auto"/>
        <w:rPr>
          <w:sz w:val="18"/>
          <w:szCs w:val="18"/>
        </w:rPr>
      </w:pPr>
      <w:r>
        <w:rPr>
          <w:rFonts w:hint="eastAsia"/>
          <w:sz w:val="18"/>
          <w:szCs w:val="18"/>
        </w:rPr>
        <w:t>申购份额＝申购金额÷申购确认日前一自然日理财计划份额净值</w:t>
      </w:r>
    </w:p>
    <w:p w14:paraId="33BE98D5">
      <w:pPr>
        <w:adjustRightInd w:val="0"/>
        <w:snapToGrid w:val="0"/>
        <w:spacing w:line="286" w:lineRule="auto"/>
        <w:rPr>
          <w:sz w:val="18"/>
          <w:szCs w:val="18"/>
        </w:rPr>
      </w:pPr>
      <w:r>
        <w:rPr>
          <w:rFonts w:hint="eastAsia"/>
          <w:sz w:val="18"/>
          <w:szCs w:val="18"/>
        </w:rPr>
        <w:t>申购费：本理财计划不收取申购费。</w:t>
      </w:r>
    </w:p>
    <w:p w14:paraId="48B6236D">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59292C74">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7142E81D">
      <w:pPr>
        <w:adjustRightInd w:val="0"/>
        <w:snapToGrid w:val="0"/>
        <w:spacing w:line="286" w:lineRule="auto"/>
        <w:rPr>
          <w:sz w:val="18"/>
          <w:szCs w:val="18"/>
        </w:rPr>
      </w:pPr>
      <w:r>
        <w:rPr>
          <w:rFonts w:hint="eastAsia"/>
          <w:sz w:val="18"/>
          <w:szCs w:val="18"/>
        </w:rPr>
        <w:t>申购份数＝100万元人民币÷1.0250＝975609.76份</w:t>
      </w:r>
    </w:p>
    <w:p w14:paraId="51C618BF">
      <w:pPr>
        <w:adjustRightInd w:val="0"/>
        <w:snapToGrid w:val="0"/>
        <w:spacing w:line="286" w:lineRule="auto"/>
        <w:rPr>
          <w:sz w:val="18"/>
          <w:szCs w:val="18"/>
        </w:rPr>
      </w:pPr>
      <w:r>
        <w:rPr>
          <w:rFonts w:hint="eastAsia"/>
          <w:sz w:val="18"/>
          <w:szCs w:val="18"/>
        </w:rPr>
        <w:t>申购费＝100万元人民币×0％＝0元人民币</w:t>
      </w:r>
    </w:p>
    <w:p w14:paraId="4F157C75">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6228489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615621BE">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45B0DDEB">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606AC3B">
      <w:pPr>
        <w:adjustRightInd w:val="0"/>
        <w:snapToGrid w:val="0"/>
        <w:spacing w:line="286" w:lineRule="auto"/>
        <w:rPr>
          <w:sz w:val="18"/>
          <w:szCs w:val="18"/>
        </w:rPr>
      </w:pPr>
      <w:r>
        <w:rPr>
          <w:rFonts w:hint="eastAsia"/>
          <w:sz w:val="18"/>
          <w:szCs w:val="18"/>
        </w:rPr>
        <w:t>赎回费＝赎回金额×赎回费率，本计划赎回费率为0。</w:t>
      </w:r>
    </w:p>
    <w:p w14:paraId="4E559871">
      <w:pPr>
        <w:adjustRightInd w:val="0"/>
        <w:snapToGrid w:val="0"/>
        <w:spacing w:line="286" w:lineRule="auto"/>
        <w:rPr>
          <w:sz w:val="18"/>
          <w:szCs w:val="18"/>
        </w:rPr>
      </w:pPr>
      <w:r>
        <w:rPr>
          <w:rFonts w:hint="eastAsia"/>
          <w:sz w:val="18"/>
          <w:szCs w:val="18"/>
        </w:rPr>
        <w:t>投资者应得赎回资金＝赎回金额－赎回费</w:t>
      </w:r>
    </w:p>
    <w:p w14:paraId="07985C32">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78C97DCE">
      <w:pPr>
        <w:adjustRightInd w:val="0"/>
        <w:snapToGrid w:val="0"/>
        <w:spacing w:line="286" w:lineRule="auto"/>
        <w:rPr>
          <w:sz w:val="18"/>
          <w:szCs w:val="18"/>
        </w:rPr>
      </w:pPr>
      <w:r>
        <w:rPr>
          <w:rFonts w:hint="eastAsia"/>
          <w:sz w:val="18"/>
          <w:szCs w:val="18"/>
        </w:rPr>
        <w:t>赎回金额＝100000×1.0530＝105300元人民币</w:t>
      </w:r>
    </w:p>
    <w:p w14:paraId="44C834C2">
      <w:pPr>
        <w:adjustRightInd w:val="0"/>
        <w:snapToGrid w:val="0"/>
        <w:spacing w:line="286" w:lineRule="auto"/>
        <w:rPr>
          <w:sz w:val="18"/>
          <w:szCs w:val="18"/>
        </w:rPr>
      </w:pPr>
      <w:r>
        <w:rPr>
          <w:rFonts w:hint="eastAsia"/>
          <w:sz w:val="18"/>
          <w:szCs w:val="18"/>
        </w:rPr>
        <w:t>赎回费＝105300×0％＝0元人民币</w:t>
      </w:r>
    </w:p>
    <w:p w14:paraId="4717308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0DC354C">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688717B0">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145A3880">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31F87AD8">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2B25A28F">
      <w:pPr>
        <w:adjustRightInd w:val="0"/>
        <w:snapToGrid w:val="0"/>
        <w:spacing w:line="286" w:lineRule="auto"/>
        <w:rPr>
          <w:sz w:val="18"/>
          <w:szCs w:val="18"/>
        </w:rPr>
      </w:pPr>
      <w:r>
        <w:rPr>
          <w:rFonts w:hint="eastAsia"/>
          <w:sz w:val="18"/>
          <w:szCs w:val="18"/>
        </w:rPr>
        <w:t>3）当接受认购申请可能会有损于理财产品存量投资者利益时。</w:t>
      </w:r>
    </w:p>
    <w:p w14:paraId="334385D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1CE901A3">
      <w:pPr>
        <w:adjustRightInd w:val="0"/>
        <w:snapToGrid w:val="0"/>
        <w:spacing w:line="286" w:lineRule="auto"/>
        <w:rPr>
          <w:sz w:val="18"/>
          <w:szCs w:val="18"/>
        </w:rPr>
      </w:pPr>
      <w:r>
        <w:rPr>
          <w:rFonts w:hint="eastAsia"/>
          <w:sz w:val="18"/>
          <w:szCs w:val="18"/>
        </w:rPr>
        <w:t>5）发生产品说明书约定的暂停估值的情形时。</w:t>
      </w:r>
    </w:p>
    <w:p w14:paraId="4B54BE4C">
      <w:pPr>
        <w:adjustRightInd w:val="0"/>
        <w:snapToGrid w:val="0"/>
        <w:spacing w:line="286" w:lineRule="auto"/>
        <w:rPr>
          <w:sz w:val="18"/>
          <w:szCs w:val="18"/>
        </w:rPr>
      </w:pPr>
      <w:r>
        <w:rPr>
          <w:rFonts w:hint="eastAsia"/>
          <w:sz w:val="18"/>
          <w:szCs w:val="18"/>
        </w:rPr>
        <w:t>6）法律法规规定或监管机构认定的其他情形。</w:t>
      </w:r>
    </w:p>
    <w:p w14:paraId="4C14900F">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321E6134">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40628F8A">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37E5B5FA">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49B249E6">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3A10D96A">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54DA0F97">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13824270">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44E851B5">
      <w:pPr>
        <w:adjustRightInd w:val="0"/>
        <w:snapToGrid w:val="0"/>
        <w:spacing w:line="286" w:lineRule="auto"/>
        <w:rPr>
          <w:sz w:val="18"/>
          <w:szCs w:val="18"/>
        </w:rPr>
      </w:pPr>
      <w:r>
        <w:rPr>
          <w:rFonts w:hint="eastAsia"/>
          <w:sz w:val="18"/>
          <w:szCs w:val="18"/>
        </w:rPr>
        <w:t>【终止（包括到期终止、提前终止、延期终止）】</w:t>
      </w:r>
    </w:p>
    <w:p w14:paraId="6A28705F">
      <w:pPr>
        <w:adjustRightInd w:val="0"/>
        <w:snapToGrid w:val="0"/>
        <w:spacing w:line="286" w:lineRule="auto"/>
        <w:rPr>
          <w:sz w:val="18"/>
          <w:szCs w:val="18"/>
        </w:rPr>
      </w:pPr>
      <w:r>
        <w:rPr>
          <w:rFonts w:hint="eastAsia"/>
          <w:color w:val="000000"/>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09B8FAB2">
      <w:pPr>
        <w:adjustRightInd w:val="0"/>
        <w:snapToGrid w:val="0"/>
        <w:spacing w:line="286" w:lineRule="auto"/>
        <w:rPr>
          <w:sz w:val="18"/>
          <w:szCs w:val="18"/>
        </w:rPr>
      </w:pPr>
      <w:r>
        <w:rPr>
          <w:rFonts w:hint="eastAsia"/>
          <w:sz w:val="18"/>
          <w:szCs w:val="18"/>
        </w:rPr>
        <w:t>【相关费用】</w:t>
      </w:r>
    </w:p>
    <w:p w14:paraId="7C873E1A">
      <w:pPr>
        <w:adjustRightInd w:val="0"/>
        <w:snapToGrid w:val="0"/>
        <w:spacing w:line="286" w:lineRule="auto"/>
        <w:rPr>
          <w:sz w:val="18"/>
          <w:szCs w:val="18"/>
        </w:rPr>
      </w:pPr>
      <w:r>
        <w:rPr>
          <w:rFonts w:hint="eastAsia"/>
          <w:sz w:val="18"/>
          <w:szCs w:val="18"/>
        </w:rPr>
        <w:t>（1）理财管理人的固定管理费</w:t>
      </w:r>
    </w:p>
    <w:p w14:paraId="786AC083">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74EF09D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91125FA">
      <w:pPr>
        <w:adjustRightInd w:val="0"/>
        <w:snapToGrid w:val="0"/>
        <w:spacing w:line="286" w:lineRule="auto"/>
        <w:rPr>
          <w:sz w:val="18"/>
          <w:szCs w:val="18"/>
        </w:rPr>
      </w:pPr>
      <w:r>
        <w:rPr>
          <w:rFonts w:hint="eastAsia"/>
          <w:sz w:val="18"/>
          <w:szCs w:val="18"/>
        </w:rPr>
        <w:t>H＝E×固定管理费率÷365</w:t>
      </w:r>
    </w:p>
    <w:p w14:paraId="04513366">
      <w:pPr>
        <w:adjustRightInd w:val="0"/>
        <w:snapToGrid w:val="0"/>
        <w:spacing w:line="286" w:lineRule="auto"/>
        <w:rPr>
          <w:sz w:val="18"/>
          <w:szCs w:val="18"/>
        </w:rPr>
      </w:pPr>
      <w:r>
        <w:rPr>
          <w:rFonts w:hint="eastAsia"/>
          <w:sz w:val="18"/>
          <w:szCs w:val="18"/>
        </w:rPr>
        <w:t>H为每日应计提的固定管理费</w:t>
      </w:r>
    </w:p>
    <w:p w14:paraId="3EC20324">
      <w:pPr>
        <w:adjustRightInd w:val="0"/>
        <w:snapToGrid w:val="0"/>
        <w:spacing w:line="286" w:lineRule="auto"/>
        <w:rPr>
          <w:sz w:val="18"/>
          <w:szCs w:val="18"/>
        </w:rPr>
      </w:pPr>
      <w:r>
        <w:rPr>
          <w:rFonts w:hint="eastAsia"/>
          <w:sz w:val="18"/>
          <w:szCs w:val="18"/>
        </w:rPr>
        <w:t>E为本计划前一日资产净值</w:t>
      </w:r>
    </w:p>
    <w:p w14:paraId="0B805FB0">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A165416">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9B64157">
      <w:pPr>
        <w:adjustRightInd w:val="0"/>
        <w:snapToGrid w:val="0"/>
        <w:spacing w:line="286" w:lineRule="auto"/>
        <w:rPr>
          <w:sz w:val="18"/>
          <w:szCs w:val="18"/>
        </w:rPr>
      </w:pPr>
      <w:r>
        <w:rPr>
          <w:rFonts w:hint="eastAsia"/>
          <w:sz w:val="18"/>
          <w:szCs w:val="18"/>
        </w:rPr>
        <w:t>（2）理财托管人的托管费</w:t>
      </w:r>
    </w:p>
    <w:p w14:paraId="0424ED9C">
      <w:pPr>
        <w:adjustRightInd w:val="0"/>
        <w:snapToGrid w:val="0"/>
        <w:spacing w:line="286" w:lineRule="auto"/>
        <w:rPr>
          <w:sz w:val="18"/>
          <w:szCs w:val="18"/>
        </w:rPr>
      </w:pPr>
      <w:r>
        <w:rPr>
          <w:rFonts w:hint="eastAsia"/>
          <w:sz w:val="18"/>
          <w:szCs w:val="18"/>
        </w:rPr>
        <w:t>理财计划财产的年托管费为0.005%，计算方法如下：</w:t>
      </w:r>
    </w:p>
    <w:p w14:paraId="791B1D5D">
      <w:pPr>
        <w:adjustRightInd w:val="0"/>
        <w:snapToGrid w:val="0"/>
        <w:spacing w:line="286" w:lineRule="auto"/>
        <w:rPr>
          <w:sz w:val="18"/>
          <w:szCs w:val="18"/>
        </w:rPr>
      </w:pPr>
      <w:r>
        <w:rPr>
          <w:rFonts w:hint="eastAsia"/>
          <w:sz w:val="18"/>
          <w:szCs w:val="18"/>
        </w:rPr>
        <w:t>H＝E×0.005％÷365</w:t>
      </w:r>
    </w:p>
    <w:p w14:paraId="54699FB6">
      <w:pPr>
        <w:adjustRightInd w:val="0"/>
        <w:snapToGrid w:val="0"/>
        <w:spacing w:line="286" w:lineRule="auto"/>
        <w:rPr>
          <w:sz w:val="18"/>
          <w:szCs w:val="18"/>
        </w:rPr>
      </w:pPr>
      <w:r>
        <w:rPr>
          <w:rFonts w:hint="eastAsia"/>
          <w:sz w:val="18"/>
          <w:szCs w:val="18"/>
        </w:rPr>
        <w:t>H为每日应计提的托管费</w:t>
      </w:r>
    </w:p>
    <w:p w14:paraId="738F320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23C57E3D">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5E4DD5E">
      <w:pPr>
        <w:adjustRightInd w:val="0"/>
        <w:snapToGrid w:val="0"/>
        <w:spacing w:line="286" w:lineRule="auto"/>
        <w:rPr>
          <w:sz w:val="18"/>
          <w:szCs w:val="18"/>
        </w:rPr>
      </w:pPr>
      <w:r>
        <w:rPr>
          <w:rFonts w:hint="eastAsia"/>
          <w:sz w:val="18"/>
          <w:szCs w:val="18"/>
        </w:rPr>
        <w:t>（3）浮动管理费</w:t>
      </w:r>
    </w:p>
    <w:p w14:paraId="2D445A47">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47B3DA5A">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53CE694D">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6A707F83">
      <w:pPr>
        <w:adjustRightInd w:val="0"/>
        <w:snapToGrid w:val="0"/>
        <w:spacing w:line="286" w:lineRule="auto"/>
        <w:rPr>
          <w:sz w:val="18"/>
          <w:szCs w:val="18"/>
        </w:rPr>
      </w:pPr>
      <w:r>
        <w:rPr>
          <w:rFonts w:hint="eastAsia"/>
          <w:sz w:val="18"/>
          <w:szCs w:val="18"/>
        </w:rPr>
        <w:t>其中：</w:t>
      </w:r>
    </w:p>
    <w:p w14:paraId="10D67AA3">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7DB00E0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12F73865">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58ECD722">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493E05F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B0B33E">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3E41A3C3">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770DFE7A">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220B413B">
      <w:pPr>
        <w:adjustRightInd w:val="0"/>
        <w:snapToGrid w:val="0"/>
        <w:spacing w:line="286" w:lineRule="auto"/>
        <w:rPr>
          <w:sz w:val="18"/>
          <w:szCs w:val="18"/>
        </w:rPr>
      </w:pPr>
      <w:r>
        <w:rPr>
          <w:rFonts w:hint="eastAsia"/>
          <w:sz w:val="18"/>
          <w:szCs w:val="18"/>
        </w:rPr>
        <w:t>注：计算过程不保留位数，最终浮动管理费保留2位小数。</w:t>
      </w:r>
    </w:p>
    <w:p w14:paraId="60A5464A">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03D0CCC6">
      <w:pPr>
        <w:adjustRightInd w:val="0"/>
        <w:snapToGrid w:val="0"/>
        <w:spacing w:line="286" w:lineRule="auto"/>
        <w:rPr>
          <w:sz w:val="18"/>
          <w:szCs w:val="18"/>
        </w:rPr>
      </w:pPr>
      <w:r>
        <w:rPr>
          <w:rFonts w:hint="eastAsia"/>
          <w:sz w:val="18"/>
          <w:szCs w:val="18"/>
        </w:rPr>
        <w:t>【投资者所得收益】</w:t>
      </w:r>
    </w:p>
    <w:p w14:paraId="2D48B851">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0B4E398B">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7ED6B5B9">
      <w:pPr>
        <w:adjustRightInd w:val="0"/>
        <w:snapToGrid w:val="0"/>
        <w:spacing w:line="286" w:lineRule="auto"/>
        <w:rPr>
          <w:sz w:val="18"/>
          <w:szCs w:val="18"/>
        </w:rPr>
      </w:pPr>
      <w:r>
        <w:rPr>
          <w:rFonts w:hint="eastAsia"/>
          <w:sz w:val="18"/>
          <w:szCs w:val="18"/>
        </w:rPr>
        <w:t>【本金及理财收益风险】</w:t>
      </w:r>
    </w:p>
    <w:p w14:paraId="7E3C523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7472A3E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EADDCD6">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1616B09D">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FB4645C">
      <w:pPr>
        <w:adjustRightInd w:val="0"/>
        <w:snapToGrid w:val="0"/>
        <w:spacing w:line="286" w:lineRule="auto"/>
        <w:rPr>
          <w:sz w:val="18"/>
          <w:szCs w:val="18"/>
        </w:rPr>
      </w:pPr>
      <w:r>
        <w:rPr>
          <w:rFonts w:hint="eastAsia"/>
          <w:sz w:val="18"/>
          <w:szCs w:val="18"/>
        </w:rPr>
        <w:t>【理财计划提前终止时投资者所得收益】</w:t>
      </w:r>
    </w:p>
    <w:p w14:paraId="5EA4DC72">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87F78C2">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555425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0F43C148">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6D1F08A">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191EE605">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1E467EC">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352D337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3E44933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5F8C5FAA">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7307C64">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39264292">
      <w:pPr>
        <w:adjustRightInd w:val="0"/>
        <w:snapToGrid w:val="0"/>
        <w:spacing w:line="286" w:lineRule="auto"/>
        <w:rPr>
          <w:b/>
          <w:sz w:val="18"/>
          <w:szCs w:val="18"/>
        </w:rPr>
      </w:pPr>
      <w:r>
        <w:rPr>
          <w:rFonts w:hint="eastAsia"/>
          <w:b/>
          <w:sz w:val="18"/>
          <w:szCs w:val="18"/>
        </w:rPr>
        <w:t>税费规定</w:t>
      </w:r>
    </w:p>
    <w:p w14:paraId="788F423E">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93DBC19">
      <w:pPr>
        <w:widowControl/>
        <w:adjustRightInd w:val="0"/>
        <w:snapToGrid w:val="0"/>
        <w:spacing w:line="286" w:lineRule="auto"/>
        <w:outlineLvl w:val="0"/>
        <w:rPr>
          <w:b/>
          <w:sz w:val="18"/>
          <w:szCs w:val="18"/>
        </w:rPr>
      </w:pPr>
      <w:r>
        <w:rPr>
          <w:rFonts w:hint="eastAsia"/>
          <w:b/>
          <w:sz w:val="18"/>
          <w:szCs w:val="18"/>
        </w:rPr>
        <w:t>风险提示</w:t>
      </w:r>
    </w:p>
    <w:p w14:paraId="4E79FDA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4C45E387">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74EF27D8">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361FD07">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3A99B7F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36D0A727">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F770750">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2C70C0E8">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CDD9FDE">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64A2169B">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57EC5655">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1F9A576">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D68189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365265D">
      <w:pPr>
        <w:adjustRightInd w:val="0"/>
        <w:snapToGrid w:val="0"/>
        <w:spacing w:line="286" w:lineRule="auto"/>
        <w:rPr>
          <w:sz w:val="18"/>
          <w:szCs w:val="18"/>
        </w:rPr>
      </w:pPr>
      <w:r>
        <w:rPr>
          <w:rFonts w:hint="eastAsia" w:ascii="宋体" w:hAnsi="宋体"/>
          <w:b/>
          <w:sz w:val="18"/>
          <w:szCs w:val="18"/>
        </w:rPr>
        <w:t>风险监测和控制措施：</w:t>
      </w:r>
    </w:p>
    <w:p w14:paraId="2C95DCE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7B314A8">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2233F4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72218FA0">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F61872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3101340">
      <w:pPr>
        <w:adjustRightInd w:val="0"/>
        <w:snapToGrid w:val="0"/>
        <w:spacing w:line="286" w:lineRule="auto"/>
        <w:rPr>
          <w:b/>
          <w:sz w:val="18"/>
          <w:szCs w:val="18"/>
        </w:rPr>
      </w:pPr>
      <w:r>
        <w:rPr>
          <w:rFonts w:hint="eastAsia"/>
          <w:b/>
          <w:sz w:val="18"/>
          <w:szCs w:val="18"/>
        </w:rPr>
        <w:t>信息公告</w:t>
      </w:r>
    </w:p>
    <w:p w14:paraId="3F9D646B">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40F701DF">
      <w:pPr>
        <w:adjustRightInd w:val="0"/>
        <w:snapToGrid w:val="0"/>
        <w:spacing w:line="286" w:lineRule="auto"/>
        <w:rPr>
          <w:sz w:val="18"/>
          <w:szCs w:val="18"/>
        </w:rPr>
      </w:pPr>
      <w:r>
        <w:rPr>
          <w:rFonts w:hint="eastAsia"/>
          <w:sz w:val="18"/>
          <w:szCs w:val="18"/>
        </w:rPr>
        <w:t>2、定期公告：</w:t>
      </w:r>
    </w:p>
    <w:p w14:paraId="2EEE7A2C">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6402532A">
      <w:pPr>
        <w:numPr>
          <w:ilvl w:val="0"/>
          <w:numId w:val="4"/>
        </w:numPr>
        <w:adjustRightInd w:val="0"/>
        <w:snapToGrid w:val="0"/>
        <w:spacing w:line="286" w:lineRule="auto"/>
        <w:rPr>
          <w:sz w:val="18"/>
          <w:szCs w:val="18"/>
        </w:rPr>
      </w:pPr>
      <w:r>
        <w:rPr>
          <w:rFonts w:hint="eastAsia"/>
          <w:sz w:val="18"/>
          <w:szCs w:val="18"/>
        </w:rPr>
        <w:t>临时性公告：</w:t>
      </w:r>
    </w:p>
    <w:p w14:paraId="347EA7F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35064D70">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2DBAEE8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4B566F2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FE259C9">
      <w:pPr>
        <w:adjustRightInd w:val="0"/>
        <w:snapToGrid w:val="0"/>
        <w:spacing w:line="286" w:lineRule="auto"/>
        <w:rPr>
          <w:sz w:val="18"/>
          <w:szCs w:val="18"/>
        </w:rPr>
      </w:pPr>
      <w:r>
        <w:rPr>
          <w:rFonts w:hint="eastAsia"/>
          <w:sz w:val="18"/>
          <w:szCs w:val="18"/>
        </w:rPr>
        <w:t>5、到期公告：</w:t>
      </w:r>
    </w:p>
    <w:p w14:paraId="61999E2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3FC2C2B">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29748C9D">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09B6D91E">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76D907E4">
      <w:pPr>
        <w:adjustRightInd w:val="0"/>
        <w:snapToGrid w:val="0"/>
        <w:spacing w:line="276" w:lineRule="auto"/>
        <w:rPr>
          <w:b/>
          <w:sz w:val="18"/>
          <w:szCs w:val="18"/>
        </w:rPr>
      </w:pPr>
      <w:r>
        <w:rPr>
          <w:rFonts w:hint="eastAsia"/>
          <w:b/>
          <w:sz w:val="18"/>
          <w:szCs w:val="18"/>
        </w:rPr>
        <w:t>投资者信息管理</w:t>
      </w:r>
    </w:p>
    <w:p w14:paraId="7200662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B030083">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4101C070">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E562E81">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625FC6F0">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EF29A5E">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48EDF7A">
      <w:pPr>
        <w:adjustRightInd w:val="0"/>
        <w:snapToGrid w:val="0"/>
        <w:spacing w:line="286" w:lineRule="auto"/>
        <w:rPr>
          <w:b/>
          <w:sz w:val="18"/>
          <w:szCs w:val="18"/>
        </w:rPr>
      </w:pPr>
      <w:r>
        <w:rPr>
          <w:rFonts w:hint="eastAsia"/>
          <w:b/>
          <w:sz w:val="18"/>
          <w:szCs w:val="18"/>
        </w:rPr>
        <w:t>产品认购（申购）</w:t>
      </w:r>
    </w:p>
    <w:p w14:paraId="0F810EDB">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A22320B">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404B5392">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3D9574">
      <w:pPr>
        <w:adjustRightInd w:val="0"/>
        <w:snapToGrid w:val="0"/>
        <w:spacing w:line="286" w:lineRule="auto"/>
        <w:rPr>
          <w:b/>
          <w:sz w:val="18"/>
          <w:szCs w:val="18"/>
        </w:rPr>
      </w:pPr>
      <w:r>
        <w:rPr>
          <w:rFonts w:hint="eastAsia"/>
          <w:b/>
          <w:sz w:val="18"/>
          <w:szCs w:val="18"/>
        </w:rPr>
        <w:t>法律适用与争议解决</w:t>
      </w:r>
    </w:p>
    <w:p w14:paraId="49668EF2">
      <w:pPr>
        <w:adjustRightInd w:val="0"/>
        <w:snapToGrid w:val="0"/>
        <w:spacing w:line="286" w:lineRule="auto"/>
        <w:rPr>
          <w:sz w:val="18"/>
          <w:szCs w:val="18"/>
        </w:rPr>
      </w:pPr>
      <w:r>
        <w:rPr>
          <w:rFonts w:hint="eastAsia"/>
          <w:sz w:val="18"/>
          <w:szCs w:val="18"/>
        </w:rPr>
        <w:t>1、法律适用</w:t>
      </w:r>
    </w:p>
    <w:p w14:paraId="000EE54A">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66BB9B03">
      <w:pPr>
        <w:adjustRightInd w:val="0"/>
        <w:snapToGrid w:val="0"/>
        <w:spacing w:line="286" w:lineRule="auto"/>
        <w:rPr>
          <w:sz w:val="18"/>
          <w:szCs w:val="18"/>
        </w:rPr>
      </w:pPr>
      <w:r>
        <w:rPr>
          <w:rFonts w:hint="eastAsia"/>
          <w:sz w:val="18"/>
          <w:szCs w:val="18"/>
        </w:rPr>
        <w:t>2、争议解决</w:t>
      </w:r>
    </w:p>
    <w:p w14:paraId="3D43B98D">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EACE4D4">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DE01381">
      <w:pPr>
        <w:adjustRightInd w:val="0"/>
        <w:snapToGrid w:val="0"/>
        <w:spacing w:line="286" w:lineRule="auto"/>
        <w:rPr>
          <w:sz w:val="18"/>
          <w:szCs w:val="18"/>
        </w:rPr>
      </w:pPr>
      <w:r>
        <w:rPr>
          <w:rFonts w:hint="eastAsia"/>
          <w:color w:val="000000"/>
          <w:sz w:val="18"/>
          <w:szCs w:val="18"/>
        </w:rPr>
        <w:t>（3）《温州银行“金鹿理财-温盈”20039号开放式净值型银行理财计划风险揭示书》、《温州银行“金鹿理财”银行理财计划合约》、《温州银行“金鹿理财-温盈”20039号开放式净值型（第i期）银行理财计划开放认购（申购）申请书》和《温州银行理财产品投资者权益须知》等销售文件中的内容与本产品说明书不一致的，以本产品说明书约定的内容为准。</w:t>
      </w:r>
    </w:p>
    <w:p w14:paraId="7F77F563">
      <w:pPr>
        <w:adjustRightInd w:val="0"/>
        <w:snapToGrid w:val="0"/>
        <w:spacing w:line="286" w:lineRule="auto"/>
        <w:rPr>
          <w:sz w:val="18"/>
          <w:szCs w:val="18"/>
        </w:rPr>
      </w:pPr>
    </w:p>
    <w:p w14:paraId="7EB36CB9">
      <w:pPr>
        <w:spacing w:before="312" w:beforeLines="100" w:line="281" w:lineRule="auto"/>
        <w:rPr>
          <w:rFonts w:ascii="宋体" w:hAnsi="宋体"/>
          <w:szCs w:val="21"/>
        </w:rPr>
      </w:pPr>
      <w:r>
        <w:rPr>
          <w:rFonts w:hint="eastAsia" w:ascii="宋体" w:hAnsi="宋体"/>
          <w:szCs w:val="21"/>
        </w:rPr>
        <w:t xml:space="preserve">         投资者签章：                                 日期：</w:t>
      </w:r>
    </w:p>
    <w:p w14:paraId="796AA396">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75B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7F9A6957">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2024-12-30T09:44:24Z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