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54</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第54期28天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2.25%-2.4%</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2025年5月22日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2025年5月28日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2025年5月29日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2025年6月19日</w:t>
            </w:r>
            <w:r>
              <w:rPr>
                <w:rFonts w:hint="eastAsia" w:ascii="宋体" w:hAnsi="宋体" w:eastAsia="宋体"/>
                <w:color w:val="000000"/>
                <w:kern w:val="0"/>
                <w:sz w:val="18"/>
                <w:szCs w:val="18"/>
                <w:u w:val="single"/>
                <w:lang w:eastAsia="zh-Hans"/>
              </w:rPr>
              <w:t>至2025年6月25日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2025年6月26日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第54期28天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vo18jyLZlxY4Qp9IzxBmHrqO5fA=" w:salt="kkidz7LD8Q9JbA/h0hefe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C3968F4"/>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2025-05-16T08:47:55Z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