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20044号开放式净值型银行理财计划产品说明书》、《温州银行“金鹿理财-温盈”20044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2020年4月29日</w:t>
            </w:r>
            <w:r>
              <w:rPr>
                <w:rFonts w:hint="eastAsia"/>
                <w:sz w:val="18"/>
                <w:szCs w:val="18"/>
                <w:u w:val="single"/>
              </w:rPr>
              <w:t>至</w:t>
            </w:r>
            <w:r>
              <w:rPr>
                <w:rFonts w:hint="eastAsia"/>
                <w:color w:val="000000"/>
                <w:sz w:val="18"/>
                <w:szCs w:val="18"/>
                <w:u w:val="single"/>
                <w:lang w:val="en-US" w:eastAsia="zh-CN"/>
              </w:rPr>
              <w:t>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20044号开放式净值型银行理财计划风险揭示书》、《温州银行“金鹿理财”银行理财计划合约》、《温州银行“金鹿理财-温盈”20044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U3nzBnXcseAr74Xgc4h7iLpzZc=" w:salt="zXCe4nN8DEcXx3iQz77uO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1DC32EC"/>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2025-05-22T08:15:34Z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