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温州银行“金鹿理财-普惠季享”</w:t>
      </w:r>
      <w:r>
        <w:rPr>
          <w:rFonts w:ascii="黑体" w:eastAsia="黑体"/>
          <w:color w:val="000000"/>
          <w:sz w:val="30"/>
          <w:szCs w:val="30"/>
          <w:u w:val="single"/>
        </w:rPr>
        <w:t>25014</w:t>
      </w:r>
      <w:r>
        <w:rPr>
          <w:rFonts w:hint="eastAsia" w:ascii="黑体" w:eastAsia="黑体"/>
          <w:sz w:val="30"/>
          <w:szCs w:val="30"/>
        </w:rPr>
        <w:t>号（共同富裕特别款）银行理财计划风险揭示书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color w:val="000000"/>
          <w:szCs w:val="21"/>
          <w:u w:val="single"/>
        </w:rPr>
        <w:t>25014</w:t>
      </w:r>
      <w:r>
        <w:rPr>
          <w:rFonts w:hint="eastAsia"/>
          <w:szCs w:val="21"/>
        </w:rPr>
        <w:t>号（共同富裕特别款）银行理财计划，投资类型属于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127</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三、本风险揭示书及《温州银行“金鹿理财-普惠季享”</w:t>
      </w:r>
      <w:r>
        <w:rPr>
          <w:rFonts w:ascii="宋体"/>
          <w:color w:val="000000"/>
          <w:szCs w:val="21"/>
          <w:u w:val="single"/>
        </w:rPr>
        <w:t>25014</w:t>
      </w:r>
      <w:r>
        <w:rPr>
          <w:rFonts w:hint="eastAsia" w:ascii="宋体" w:hAnsi="宋体"/>
          <w:szCs w:val="21"/>
        </w:rPr>
        <w:t>号</w:t>
      </w:r>
      <w:r>
        <w:rPr>
          <w:rFonts w:hint="eastAsia"/>
          <w:szCs w:val="21"/>
        </w:rPr>
        <w:t>（共同富裕特别款）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ascii="宋体"/>
          <w:color w:val="000000"/>
          <w:szCs w:val="21"/>
          <w:u w:val="single"/>
        </w:rPr>
        <w:t>25014</w:t>
      </w:r>
      <w:r>
        <w:rPr>
          <w:rFonts w:hint="eastAsia" w:ascii="宋体" w:hAnsi="宋体"/>
          <w:szCs w:val="21"/>
        </w:rPr>
        <w:t>号</w:t>
      </w:r>
      <w:r>
        <w:rPr>
          <w:rFonts w:hint="eastAsia"/>
          <w:szCs w:val="21"/>
        </w:rPr>
        <w:t>（共同富裕特别款）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9"/>
        <w:adjustRightInd w:val="0"/>
        <w:snapToGrid w:val="0"/>
        <w:spacing w:before="0" w:beforeAutospacing="0" w:after="0" w:afterAutospacing="0" w:line="360" w:lineRule="auto"/>
        <w:jc w:val="center"/>
        <w:rPr>
          <w:rFonts w:ascii="黑体" w:eastAsia="黑体"/>
          <w:bCs/>
          <w:sz w:val="30"/>
          <w:szCs w:val="30"/>
        </w:rPr>
      </w:pP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ascii="黑体" w:eastAsia="黑体"/>
          <w:color w:val="000000"/>
          <w:sz w:val="30"/>
          <w:szCs w:val="30"/>
          <w:u w:val="single"/>
        </w:rPr>
        <w:t>25014</w:t>
      </w:r>
      <w:r>
        <w:rPr>
          <w:rFonts w:hint="eastAsia" w:ascii="黑体" w:eastAsia="黑体"/>
          <w:bCs/>
          <w:sz w:val="30"/>
          <w:szCs w:val="30"/>
        </w:rPr>
        <w:t>号（共同富裕特别款）</w:t>
      </w: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普惠季享”</w:t>
      </w:r>
      <w:r>
        <w:rPr>
          <w:color w:val="000000"/>
          <w:sz w:val="18"/>
          <w:szCs w:val="18"/>
        </w:rPr>
        <w:t>25014</w:t>
      </w:r>
      <w:r>
        <w:rPr>
          <w:rFonts w:hint="eastAsia"/>
          <w:sz w:val="18"/>
          <w:szCs w:val="18"/>
        </w:rPr>
        <w:t>号（共同富裕特别款）银行理财计划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普惠季享</w:t>
            </w:r>
            <w:r>
              <w:rPr>
                <w:sz w:val="18"/>
                <w:szCs w:val="18"/>
              </w:rPr>
              <w:t>”</w:t>
            </w:r>
            <w:r>
              <w:rPr>
                <w:color w:val="000000"/>
                <w:sz w:val="18"/>
                <w:szCs w:val="18"/>
                <w:u w:val="single"/>
              </w:rPr>
              <w:t>25014</w:t>
            </w:r>
            <w:r>
              <w:rPr>
                <w:sz w:val="18"/>
                <w:szCs w:val="18"/>
              </w:rPr>
              <w:t>号</w:t>
            </w:r>
            <w:r>
              <w:rPr>
                <w:rFonts w:hint="eastAsia"/>
                <w:sz w:val="18"/>
                <w:szCs w:val="18"/>
              </w:rPr>
              <w:t>（共同富裕特别款）银行理财计划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JX2514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C1092225000025</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127</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color w:val="000000"/>
                <w:sz w:val="18"/>
                <w:u w:val="single"/>
              </w:rPr>
              <w:t>2025年6月24日</w:t>
            </w:r>
            <w:r>
              <w:rPr>
                <w:rFonts w:hint="eastAsia"/>
                <w:sz w:val="18"/>
                <w:u w:val="single"/>
              </w:rPr>
              <w:t>至</w:t>
            </w:r>
            <w:r>
              <w:rPr>
                <w:color w:val="000000"/>
                <w:sz w:val="18"/>
                <w:u w:val="single"/>
              </w:rPr>
              <w:t>2025年6月29日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rFonts w:hint="eastAsia"/>
                <w:color w:val="000000"/>
                <w:sz w:val="18"/>
                <w:szCs w:val="18"/>
                <w:u w:val="single"/>
                <w:lang w:val="en-US" w:eastAsia="zh-CN"/>
              </w:rPr>
              <w:t>2025年6月30日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u w:val="single"/>
              </w:rPr>
            </w:pPr>
            <w:r>
              <w:rPr>
                <w:rFonts w:hint="eastAsia"/>
                <w:color w:val="000000"/>
                <w:sz w:val="18"/>
                <w:szCs w:val="24"/>
                <w:u w:val="single"/>
                <w:lang w:val="en-US" w:eastAsia="zh-CN"/>
              </w:rPr>
              <w:t>2025年11月4日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2.45%</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hint="eastAsia" w:eastAsia="宋体"/>
                <w:sz w:val="18"/>
                <w:szCs w:val="18"/>
                <w:lang w:eastAsia="zh-CN"/>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djustRightInd w:val="0"/>
              <w:snapToGrid w:val="0"/>
              <w:spacing w:line="288" w:lineRule="auto"/>
              <w:rPr>
                <w:rFonts w:ascii="宋体" w:hAnsi="宋体"/>
                <w:sz w:val="18"/>
              </w:rPr>
            </w:pPr>
            <w:r>
              <w:rPr>
                <w:rFonts w:hint="eastAsia" w:ascii="宋体" w:hAnsi="宋体"/>
                <w:sz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，包括但不限于银行间市场和证券交易所市场债权性资产、非标准化债权资产、资产管理计划、信托计划、各类受（收）益权、资产支持证券、票据资产、证券投资基金、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9"/>
        <w:tblW w:w="0" w:type="auto"/>
        <w:jc w:val="center"/>
        <w:tblLayout w:type="fixed"/>
        <w:tblCellMar>
          <w:top w:w="0" w:type="dxa"/>
          <w:left w:w="108" w:type="dxa"/>
          <w:bottom w:w="0" w:type="dxa"/>
          <w:right w:w="108" w:type="dxa"/>
        </w:tblCellMar>
      </w:tblPr>
      <w:tblGrid>
        <w:gridCol w:w="2203"/>
        <w:gridCol w:w="5494"/>
        <w:gridCol w:w="1703"/>
      </w:tblGrid>
      <w:tr>
        <w:tblPrEx>
          <w:tblCellMar>
            <w:top w:w="0" w:type="dxa"/>
            <w:left w:w="108" w:type="dxa"/>
            <w:bottom w:w="0" w:type="dxa"/>
            <w:right w:w="108" w:type="dxa"/>
          </w:tblCellMar>
        </w:tblPrEx>
        <w:trPr>
          <w:trHeight w:val="270" w:hRule="atLeast"/>
          <w:jc w:val="center"/>
        </w:trPr>
        <w:tc>
          <w:tcPr>
            <w:tcW w:w="2203"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494"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203"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lang w:val="en-US" w:eastAsia="zh-CN"/>
              </w:rPr>
              <w:t>其他类资产</w:t>
            </w:r>
          </w:p>
        </w:tc>
        <w:tc>
          <w:tcPr>
            <w:tcW w:w="5494" w:type="dxa"/>
            <w:tcBorders>
              <w:top w:val="nil"/>
              <w:left w:val="nil"/>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本产品采用安全性和流动性优先、追求适度收益的投资策略。本理财产品计划将不低于7</w:t>
      </w:r>
      <w:r>
        <w:rPr>
          <w:sz w:val="18"/>
          <w:szCs w:val="18"/>
        </w:rPr>
        <w:t>0</w:t>
      </w:r>
      <w:r>
        <w:rPr>
          <w:rFonts w:hint="eastAsia"/>
          <w:sz w:val="18"/>
          <w:szCs w:val="18"/>
        </w:rPr>
        <w:t>%的债权类资产投资于浙江省内优质资产，助力浙江高质量发展建设共同富裕示范区。</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sz w:val="18"/>
          <w:szCs w:val="18"/>
        </w:rPr>
      </w:pPr>
      <w:r>
        <w:rPr>
          <w:rFonts w:hint="eastAsia"/>
          <w:b/>
          <w:bCs/>
          <w:sz w:val="18"/>
          <w:szCs w:val="18"/>
        </w:rPr>
        <w:t>投资合作机构</w:t>
      </w:r>
    </w:p>
    <w:p>
      <w:pPr>
        <w:adjustRightInd w:val="0"/>
        <w:snapToGrid w:val="0"/>
        <w:spacing w:line="278"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w:t>
      </w:r>
      <w:r>
        <w:rPr>
          <w:rFonts w:hint="eastAsia" w:ascii="宋体" w:hAnsi="宋体"/>
          <w:sz w:val="18"/>
          <w:szCs w:val="18"/>
        </w:rPr>
        <w:t>投资者可登录温州银行网站（</w:t>
      </w:r>
      <w:r>
        <w:fldChar w:fldCharType="begin"/>
      </w:r>
      <w:r>
        <w:instrText xml:space="preserve"> HYPERLINK "http://www.wzbank.cn" </w:instrText>
      </w:r>
      <w:r>
        <w:fldChar w:fldCharType="separate"/>
      </w:r>
      <w:r>
        <w:rPr>
          <w:rStyle w:val="21"/>
          <w:rFonts w:hint="eastAsia" w:ascii="宋体" w:hAnsi="宋体"/>
          <w:sz w:val="18"/>
          <w:szCs w:val="18"/>
        </w:rPr>
        <w:t>www.wzbank.cn</w:t>
      </w:r>
      <w:r>
        <w:rPr>
          <w:rStyle w:val="21"/>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numPr>
          <w:ilvl w:val="0"/>
          <w:numId w:val="1"/>
        </w:numPr>
        <w:adjustRightInd w:val="0"/>
        <w:snapToGrid w:val="0"/>
        <w:spacing w:line="286" w:lineRule="auto"/>
        <w:rPr>
          <w:sz w:val="18"/>
          <w:szCs w:val="18"/>
        </w:rPr>
      </w:pPr>
      <w:r>
        <w:rPr>
          <w:rFonts w:hint="eastAsia"/>
          <w:sz w:val="18"/>
          <w:szCs w:val="18"/>
        </w:rPr>
        <w:t>理财产品投资所涉及的交易市场遇法定节假日或其他原因暂停营业时。</w:t>
      </w:r>
    </w:p>
    <w:p>
      <w:pPr>
        <w:adjustRightInd w:val="0"/>
        <w:snapToGrid w:val="0"/>
        <w:spacing w:line="286" w:lineRule="auto"/>
        <w:rPr>
          <w:b/>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b/>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b/>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b/>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rFonts w:hint="eastAsia"/>
          <w:color w:val="000000"/>
          <w:sz w:val="18"/>
          <w:szCs w:val="18"/>
          <w:lang w:val="en-US" w:eastAsia="zh-CN"/>
        </w:rPr>
        <w:t>2.45%</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2025年11月4日</w:t>
      </w:r>
      <w:r>
        <w:rPr>
          <w:rFonts w:hint="eastAsia"/>
          <w:sz w:val="18"/>
        </w:rPr>
        <w:t xml:space="preserve">，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 </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w:t>
      </w:r>
      <w:r>
        <w:rPr>
          <w:rFonts w:hint="eastAsia"/>
          <w:sz w:val="18"/>
          <w:szCs w:val="18"/>
          <w:lang w:val="en-US" w:eastAsia="zh-CN"/>
        </w:rPr>
        <w:t>27</w:t>
      </w:r>
      <w:r>
        <w:rPr>
          <w:rFonts w:hint="eastAsia"/>
          <w:sz w:val="18"/>
          <w:szCs w:val="18"/>
        </w:rPr>
        <w:t>天。假设产品业绩比较基准为2.</w:t>
      </w:r>
      <w:r>
        <w:rPr>
          <w:rFonts w:hint="eastAsia"/>
          <w:sz w:val="18"/>
          <w:szCs w:val="18"/>
          <w:lang w:val="en-US" w:eastAsia="zh-CN"/>
        </w:rPr>
        <w:t>45</w:t>
      </w:r>
      <w:r>
        <w:rPr>
          <w:rFonts w:hint="eastAsia"/>
          <w:sz w:val="18"/>
          <w:szCs w:val="18"/>
        </w:rPr>
        <w:t>%。到期时扣除托管费、销售服务费、固定管理费及其他费用（如有）后，如产品净值为1.0</w:t>
      </w:r>
      <w:r>
        <w:rPr>
          <w:rFonts w:hint="eastAsia"/>
          <w:sz w:val="18"/>
          <w:szCs w:val="18"/>
          <w:lang w:val="en-US" w:eastAsia="zh-CN"/>
        </w:rPr>
        <w:t>09</w:t>
      </w:r>
      <w:r>
        <w:rPr>
          <w:rFonts w:hint="eastAsia"/>
          <w:sz w:val="18"/>
          <w:szCs w:val="18"/>
        </w:rPr>
        <w:t>，此时，(1.0</w:t>
      </w:r>
      <w:r>
        <w:rPr>
          <w:rFonts w:hint="eastAsia"/>
          <w:sz w:val="18"/>
          <w:szCs w:val="18"/>
          <w:lang w:val="en-US" w:eastAsia="zh-CN"/>
        </w:rPr>
        <w:t>09</w:t>
      </w:r>
      <w:r>
        <w:rPr>
          <w:rFonts w:hint="eastAsia"/>
          <w:sz w:val="18"/>
          <w:szCs w:val="18"/>
        </w:rPr>
        <w:t>/1.00-1)×365/1</w:t>
      </w:r>
      <w:r>
        <w:rPr>
          <w:rFonts w:hint="eastAsia"/>
          <w:sz w:val="18"/>
          <w:szCs w:val="18"/>
          <w:lang w:val="en-US" w:eastAsia="zh-CN"/>
        </w:rPr>
        <w:t>27</w:t>
      </w:r>
      <w:r>
        <w:rPr>
          <w:rFonts w:hint="eastAsia"/>
          <w:sz w:val="18"/>
          <w:szCs w:val="18"/>
        </w:rPr>
        <w:t>=</w:t>
      </w:r>
      <w:r>
        <w:rPr>
          <w:rFonts w:hint="eastAsia"/>
          <w:sz w:val="18"/>
          <w:szCs w:val="18"/>
          <w:lang w:val="en-US" w:eastAsia="zh-CN"/>
        </w:rPr>
        <w:t>2.59</w:t>
      </w:r>
      <w:r>
        <w:rPr>
          <w:rFonts w:hint="eastAsia"/>
          <w:sz w:val="18"/>
          <w:szCs w:val="18"/>
        </w:rPr>
        <w:t>%&gt;2.</w:t>
      </w:r>
      <w:r>
        <w:rPr>
          <w:rFonts w:hint="eastAsia"/>
          <w:sz w:val="18"/>
          <w:szCs w:val="18"/>
          <w:lang w:val="en-US" w:eastAsia="zh-CN"/>
        </w:rPr>
        <w:t>45</w:t>
      </w:r>
      <w:r>
        <w:rPr>
          <w:rFonts w:hint="eastAsia"/>
          <w:sz w:val="18"/>
          <w:szCs w:val="18"/>
        </w:rPr>
        <w:t>%，即投资收益超越业绩比较基准，则投资管理人对超过业绩比较基准部分收益收取浮动管理费，浮动管理费为：1,000,000.00×[1.0</w:t>
      </w:r>
      <w:r>
        <w:rPr>
          <w:rFonts w:hint="eastAsia"/>
          <w:sz w:val="18"/>
          <w:szCs w:val="18"/>
          <w:lang w:val="en-US" w:eastAsia="zh-CN"/>
        </w:rPr>
        <w:t>09</w:t>
      </w:r>
      <w:r>
        <w:rPr>
          <w:rFonts w:hint="eastAsia"/>
          <w:sz w:val="18"/>
          <w:szCs w:val="18"/>
        </w:rPr>
        <w:t>-1.00×(1+2.</w:t>
      </w:r>
      <w:r>
        <w:rPr>
          <w:rFonts w:hint="eastAsia"/>
          <w:sz w:val="18"/>
          <w:szCs w:val="18"/>
          <w:lang w:val="en-US" w:eastAsia="zh-CN"/>
        </w:rPr>
        <w:t>45</w:t>
      </w:r>
      <w:r>
        <w:rPr>
          <w:rFonts w:hint="eastAsia"/>
          <w:sz w:val="18"/>
          <w:szCs w:val="18"/>
        </w:rPr>
        <w:t>%×1</w:t>
      </w:r>
      <w:r>
        <w:rPr>
          <w:rFonts w:hint="eastAsia"/>
          <w:sz w:val="18"/>
          <w:szCs w:val="18"/>
          <w:lang w:val="en-US" w:eastAsia="zh-CN"/>
        </w:rPr>
        <w:t>27</w:t>
      </w:r>
      <w:r>
        <w:rPr>
          <w:rFonts w:hint="eastAsia"/>
          <w:sz w:val="18"/>
          <w:szCs w:val="18"/>
        </w:rPr>
        <w:t>/365)]×80%=</w:t>
      </w:r>
      <w:r>
        <w:rPr>
          <w:rFonts w:hint="eastAsia"/>
          <w:sz w:val="18"/>
          <w:szCs w:val="18"/>
          <w:lang w:val="en-US" w:eastAsia="zh-CN"/>
        </w:rPr>
        <w:t>380.27</w:t>
      </w:r>
      <w:r>
        <w:rPr>
          <w:rFonts w:hint="eastAsia"/>
          <w:sz w:val="18"/>
          <w:szCs w:val="18"/>
        </w:rPr>
        <w:t>（元）。扣除浮动管理费后，客户最终收益为：1,000,000.00×（1.0</w:t>
      </w:r>
      <w:r>
        <w:rPr>
          <w:rFonts w:hint="eastAsia"/>
          <w:sz w:val="18"/>
          <w:szCs w:val="18"/>
          <w:lang w:val="en-US" w:eastAsia="zh-CN"/>
        </w:rPr>
        <w:t>09</w:t>
      </w:r>
      <w:r>
        <w:rPr>
          <w:rFonts w:hint="eastAsia"/>
          <w:sz w:val="18"/>
          <w:szCs w:val="18"/>
        </w:rPr>
        <w:t>-1.00）-</w:t>
      </w:r>
      <w:r>
        <w:rPr>
          <w:rFonts w:hint="eastAsia"/>
          <w:sz w:val="18"/>
          <w:szCs w:val="18"/>
          <w:lang w:val="en-US" w:eastAsia="zh-CN"/>
        </w:rPr>
        <w:t>380.27</w:t>
      </w:r>
      <w:r>
        <w:rPr>
          <w:rFonts w:hint="eastAsia"/>
          <w:sz w:val="18"/>
          <w:szCs w:val="18"/>
        </w:rPr>
        <w:t>=8</w:t>
      </w:r>
      <w:r>
        <w:rPr>
          <w:rFonts w:hint="eastAsia"/>
          <w:sz w:val="18"/>
          <w:szCs w:val="18"/>
          <w:lang w:val="en-US" w:eastAsia="zh-CN"/>
        </w:rPr>
        <w:t>619.73</w:t>
      </w:r>
      <w:r>
        <w:rPr>
          <w:rFonts w:hint="eastAsia"/>
          <w:sz w:val="18"/>
          <w:szCs w:val="18"/>
        </w:rPr>
        <w:t>（元），产品到期时，客户获得的实际收益相当于达到年化收益率水平为：8</w:t>
      </w:r>
      <w:r>
        <w:rPr>
          <w:rFonts w:hint="eastAsia"/>
          <w:sz w:val="18"/>
          <w:szCs w:val="18"/>
          <w:lang w:val="en-US" w:eastAsia="zh-CN"/>
        </w:rPr>
        <w:t>619.73</w:t>
      </w:r>
      <w:r>
        <w:rPr>
          <w:rFonts w:hint="eastAsia"/>
          <w:sz w:val="18"/>
          <w:szCs w:val="18"/>
        </w:rPr>
        <w:t>/1,000,000.00×365/1</w:t>
      </w:r>
      <w:r>
        <w:rPr>
          <w:rFonts w:hint="eastAsia"/>
          <w:sz w:val="18"/>
          <w:szCs w:val="18"/>
          <w:lang w:val="en-US" w:eastAsia="zh-CN"/>
        </w:rPr>
        <w:t>27</w:t>
      </w:r>
      <w:r>
        <w:rPr>
          <w:rFonts w:hint="eastAsia"/>
          <w:sz w:val="18"/>
          <w:szCs w:val="18"/>
        </w:rPr>
        <w:t>=2.</w:t>
      </w:r>
      <w:r>
        <w:rPr>
          <w:rFonts w:hint="eastAsia"/>
          <w:sz w:val="18"/>
          <w:szCs w:val="18"/>
          <w:lang w:val="en-US" w:eastAsia="zh-CN"/>
        </w:rPr>
        <w:t>48</w:t>
      </w:r>
      <w:r>
        <w:rPr>
          <w:rFonts w:hint="eastAsia"/>
          <w:sz w:val="18"/>
          <w:szCs w:val="18"/>
        </w:rPr>
        <w:t>%。</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w:t>
      </w:r>
      <w:r>
        <w:rPr>
          <w:rFonts w:hint="eastAsia"/>
          <w:sz w:val="18"/>
          <w:szCs w:val="18"/>
          <w:lang w:val="en-US" w:eastAsia="zh-CN"/>
        </w:rPr>
        <w:t>27</w:t>
      </w:r>
      <w:r>
        <w:rPr>
          <w:rFonts w:hint="eastAsia"/>
          <w:sz w:val="18"/>
          <w:szCs w:val="18"/>
        </w:rPr>
        <w:t>天。假设产品业绩比较基准为2.</w:t>
      </w:r>
      <w:r>
        <w:rPr>
          <w:rFonts w:hint="eastAsia"/>
          <w:sz w:val="18"/>
          <w:szCs w:val="18"/>
          <w:lang w:val="en-US" w:eastAsia="zh-CN"/>
        </w:rPr>
        <w:t>45</w:t>
      </w:r>
      <w:r>
        <w:rPr>
          <w:rFonts w:hint="eastAsia"/>
          <w:sz w:val="18"/>
          <w:szCs w:val="18"/>
        </w:rPr>
        <w:t>%。到期时扣除托管费、销售服务费、固定管理费及其他费用（如有）后，如产品净值为1.008，此时，(1.008/1.00-1)×365/1</w:t>
      </w:r>
      <w:r>
        <w:rPr>
          <w:rFonts w:hint="eastAsia"/>
          <w:sz w:val="18"/>
          <w:szCs w:val="18"/>
          <w:lang w:val="en-US" w:eastAsia="zh-CN"/>
        </w:rPr>
        <w:t>27</w:t>
      </w:r>
      <w:r>
        <w:rPr>
          <w:rFonts w:hint="eastAsia"/>
          <w:sz w:val="18"/>
          <w:szCs w:val="18"/>
        </w:rPr>
        <w:t>=2.</w:t>
      </w:r>
      <w:r>
        <w:rPr>
          <w:rFonts w:hint="eastAsia"/>
          <w:sz w:val="18"/>
          <w:szCs w:val="18"/>
          <w:lang w:val="en-US" w:eastAsia="zh-CN"/>
        </w:rPr>
        <w:t>30</w:t>
      </w:r>
      <w:r>
        <w:rPr>
          <w:rFonts w:hint="eastAsia"/>
          <w:sz w:val="18"/>
          <w:szCs w:val="18"/>
        </w:rPr>
        <w:t>%&lt;2.</w:t>
      </w:r>
      <w:r>
        <w:rPr>
          <w:rFonts w:hint="eastAsia"/>
          <w:sz w:val="18"/>
          <w:szCs w:val="18"/>
          <w:lang w:val="en-US" w:eastAsia="zh-CN"/>
        </w:rPr>
        <w:t>45</w:t>
      </w:r>
      <w:r>
        <w:rPr>
          <w:rFonts w:hint="eastAsia"/>
          <w:sz w:val="18"/>
          <w:szCs w:val="18"/>
        </w:rPr>
        <w:t>%，即投资收益未达到业绩比较基准，则投资管理人不收取浮动管理费，客户最终收益为：1,000,000.00×(1.008-1.00）=8000（元）。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以某客户投资100万元为例，购买时产品净值为1.00元，折算份额为1,000,000.00份，理财期限为1</w:t>
      </w:r>
      <w:r>
        <w:rPr>
          <w:rFonts w:hint="eastAsia"/>
          <w:sz w:val="18"/>
          <w:szCs w:val="18"/>
          <w:lang w:val="en-US" w:eastAsia="zh-CN"/>
        </w:rPr>
        <w:t>27</w:t>
      </w:r>
      <w:r>
        <w:rPr>
          <w:rFonts w:hint="eastAsia"/>
          <w:sz w:val="18"/>
          <w:szCs w:val="18"/>
        </w:rPr>
        <w:t>天。假设产品业绩比较基准为2.</w:t>
      </w:r>
      <w:r>
        <w:rPr>
          <w:rFonts w:hint="eastAsia"/>
          <w:sz w:val="18"/>
          <w:szCs w:val="18"/>
          <w:lang w:val="en-US" w:eastAsia="zh-CN"/>
        </w:rPr>
        <w:t>45</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sz w:val="18"/>
          <w:szCs w:val="18"/>
        </w:rPr>
      </w:pPr>
      <w:r>
        <w:rPr>
          <w:rFonts w:hint="eastAsia"/>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3"/>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3"/>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3"/>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3"/>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（3）《温州银行“金鹿理财-普惠季享”</w:t>
      </w:r>
      <w:r>
        <w:rPr>
          <w:color w:val="000000"/>
          <w:sz w:val="18"/>
          <w:szCs w:val="18"/>
        </w:rPr>
        <w:t>25014</w:t>
      </w:r>
      <w:r>
        <w:rPr>
          <w:rFonts w:hint="eastAsia"/>
          <w:sz w:val="18"/>
          <w:szCs w:val="18"/>
        </w:rPr>
        <w:t>号（共同富裕特别款）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AF9267"/>
    <w:multiLevelType w:val="singleLevel"/>
    <w:tmpl w:val="CFAF9267"/>
    <w:lvl w:ilvl="0" w:tentative="0">
      <w:start w:val="1"/>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10D8C1A8"/>
    <w:multiLevelType w:val="singleLevel"/>
    <w:tmpl w:val="10D8C1A8"/>
    <w:lvl w:ilvl="0" w:tentative="0">
      <w:start w:val="1"/>
      <w:numFmt w:val="decimal"/>
      <w:lvlText w:val="%1."/>
      <w:lvlJc w:val="left"/>
      <w:pPr>
        <w:tabs>
          <w:tab w:val="left" w:pos="312"/>
        </w:tabs>
      </w:pPr>
    </w:lvl>
  </w:abstractNum>
  <w:num w:numId="1">
    <w:abstractNumId w:val="0"/>
  </w:num>
  <w:num w:numId="2">
    <w:abstractNumId w:val="2"/>
  </w:num>
  <w:num w:numId="3">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readOnly" w:enforcement="1" w:cryptProviderType="rsaFull" w:cryptAlgorithmClass="hash" w:cryptAlgorithmType="typeAny" w:cryptAlgorithmSid="4" w:cryptSpinCount="0" w:hash="BHY+6gRzHFZryrMyRiWtwR4q+TA=" w:salt="WkXf9Oxfdy3n5ienlGmVRw=="/>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3008C"/>
    <w:rsid w:val="000306F8"/>
    <w:rsid w:val="00040175"/>
    <w:rsid w:val="0008627F"/>
    <w:rsid w:val="000D7B26"/>
    <w:rsid w:val="00167A3A"/>
    <w:rsid w:val="0018605A"/>
    <w:rsid w:val="00193A6B"/>
    <w:rsid w:val="001A0A54"/>
    <w:rsid w:val="001D7791"/>
    <w:rsid w:val="00203720"/>
    <w:rsid w:val="0021703D"/>
    <w:rsid w:val="00232935"/>
    <w:rsid w:val="002548E8"/>
    <w:rsid w:val="0026075F"/>
    <w:rsid w:val="002C0BA1"/>
    <w:rsid w:val="002D7A72"/>
    <w:rsid w:val="00314FC3"/>
    <w:rsid w:val="0035671B"/>
    <w:rsid w:val="00365E9A"/>
    <w:rsid w:val="00385222"/>
    <w:rsid w:val="003F5708"/>
    <w:rsid w:val="004344AA"/>
    <w:rsid w:val="00437A63"/>
    <w:rsid w:val="00450A70"/>
    <w:rsid w:val="004813F0"/>
    <w:rsid w:val="0048415F"/>
    <w:rsid w:val="004E13C1"/>
    <w:rsid w:val="004E1DA8"/>
    <w:rsid w:val="0052217B"/>
    <w:rsid w:val="0055724A"/>
    <w:rsid w:val="005A1716"/>
    <w:rsid w:val="005B73A6"/>
    <w:rsid w:val="005D4428"/>
    <w:rsid w:val="00617ABD"/>
    <w:rsid w:val="00633DBA"/>
    <w:rsid w:val="00693A8D"/>
    <w:rsid w:val="006E13FD"/>
    <w:rsid w:val="00766CF2"/>
    <w:rsid w:val="0078088F"/>
    <w:rsid w:val="007828DA"/>
    <w:rsid w:val="007A7805"/>
    <w:rsid w:val="007D3753"/>
    <w:rsid w:val="007D7937"/>
    <w:rsid w:val="008157FA"/>
    <w:rsid w:val="00832709"/>
    <w:rsid w:val="00866A5E"/>
    <w:rsid w:val="008D04F3"/>
    <w:rsid w:val="009115E2"/>
    <w:rsid w:val="009E3776"/>
    <w:rsid w:val="00A31BAB"/>
    <w:rsid w:val="00A91900"/>
    <w:rsid w:val="00AF4509"/>
    <w:rsid w:val="00B032AE"/>
    <w:rsid w:val="00B16E47"/>
    <w:rsid w:val="00B92FF5"/>
    <w:rsid w:val="00BA2E46"/>
    <w:rsid w:val="00BB181E"/>
    <w:rsid w:val="00BB1978"/>
    <w:rsid w:val="00BB27A2"/>
    <w:rsid w:val="00BD4A8F"/>
    <w:rsid w:val="00BE5DC7"/>
    <w:rsid w:val="00C050F3"/>
    <w:rsid w:val="00C05158"/>
    <w:rsid w:val="00C34FBE"/>
    <w:rsid w:val="00CE4861"/>
    <w:rsid w:val="00CE5B75"/>
    <w:rsid w:val="00D161AF"/>
    <w:rsid w:val="00D46424"/>
    <w:rsid w:val="00D83E12"/>
    <w:rsid w:val="00D93DE5"/>
    <w:rsid w:val="00DA4425"/>
    <w:rsid w:val="00E0326C"/>
    <w:rsid w:val="00E2610C"/>
    <w:rsid w:val="00E303C0"/>
    <w:rsid w:val="00E31C39"/>
    <w:rsid w:val="00E320AD"/>
    <w:rsid w:val="00E373AB"/>
    <w:rsid w:val="00E72696"/>
    <w:rsid w:val="00E77F9A"/>
    <w:rsid w:val="00E9738F"/>
    <w:rsid w:val="00EC19FF"/>
    <w:rsid w:val="00F32AE1"/>
    <w:rsid w:val="00F33115"/>
    <w:rsid w:val="00F46191"/>
    <w:rsid w:val="00F81FE4"/>
    <w:rsid w:val="00FF3E7B"/>
    <w:rsid w:val="011D0799"/>
    <w:rsid w:val="018C5462"/>
    <w:rsid w:val="01B25DFE"/>
    <w:rsid w:val="020D5912"/>
    <w:rsid w:val="02B70580"/>
    <w:rsid w:val="03C64591"/>
    <w:rsid w:val="03E90339"/>
    <w:rsid w:val="05256D34"/>
    <w:rsid w:val="06ED4D4B"/>
    <w:rsid w:val="06F87141"/>
    <w:rsid w:val="07BB40C7"/>
    <w:rsid w:val="08EF38EC"/>
    <w:rsid w:val="09284DBF"/>
    <w:rsid w:val="09446D7E"/>
    <w:rsid w:val="0A1675AA"/>
    <w:rsid w:val="0AC90772"/>
    <w:rsid w:val="0EAE5E5E"/>
    <w:rsid w:val="0F4B6711"/>
    <w:rsid w:val="104F44D5"/>
    <w:rsid w:val="109B1F8D"/>
    <w:rsid w:val="10B17669"/>
    <w:rsid w:val="14237D99"/>
    <w:rsid w:val="14C54C98"/>
    <w:rsid w:val="161D1528"/>
    <w:rsid w:val="17BF4271"/>
    <w:rsid w:val="18407F8B"/>
    <w:rsid w:val="19E25A8D"/>
    <w:rsid w:val="19EC4338"/>
    <w:rsid w:val="1A5F6148"/>
    <w:rsid w:val="1DBC7AEC"/>
    <w:rsid w:val="1EBD7528"/>
    <w:rsid w:val="20DB6550"/>
    <w:rsid w:val="21E136F4"/>
    <w:rsid w:val="22A04815"/>
    <w:rsid w:val="23535C37"/>
    <w:rsid w:val="26531D8B"/>
    <w:rsid w:val="275A751E"/>
    <w:rsid w:val="27BD2B01"/>
    <w:rsid w:val="28076A45"/>
    <w:rsid w:val="2ACF0E36"/>
    <w:rsid w:val="2D1D2B95"/>
    <w:rsid w:val="2F7E1AF7"/>
    <w:rsid w:val="2F862BC5"/>
    <w:rsid w:val="305C00F9"/>
    <w:rsid w:val="30DC7477"/>
    <w:rsid w:val="313A7139"/>
    <w:rsid w:val="31AC46DA"/>
    <w:rsid w:val="32683389"/>
    <w:rsid w:val="3318043A"/>
    <w:rsid w:val="33F1533A"/>
    <w:rsid w:val="34F321CC"/>
    <w:rsid w:val="36C936FE"/>
    <w:rsid w:val="38FC2B02"/>
    <w:rsid w:val="39766FF2"/>
    <w:rsid w:val="3A3C4BCB"/>
    <w:rsid w:val="3A9532FB"/>
    <w:rsid w:val="3B57FF03"/>
    <w:rsid w:val="3BB23156"/>
    <w:rsid w:val="3BBF210A"/>
    <w:rsid w:val="3BFBD5F2"/>
    <w:rsid w:val="3C5B2CDB"/>
    <w:rsid w:val="3D150741"/>
    <w:rsid w:val="3E2566A4"/>
    <w:rsid w:val="3F7E5351"/>
    <w:rsid w:val="4146226E"/>
    <w:rsid w:val="434002F8"/>
    <w:rsid w:val="43712A5A"/>
    <w:rsid w:val="4409550D"/>
    <w:rsid w:val="45A13E49"/>
    <w:rsid w:val="462B298E"/>
    <w:rsid w:val="4769700F"/>
    <w:rsid w:val="485937D1"/>
    <w:rsid w:val="4E424101"/>
    <w:rsid w:val="4E9D337C"/>
    <w:rsid w:val="4EFE40C2"/>
    <w:rsid w:val="51F53730"/>
    <w:rsid w:val="54133033"/>
    <w:rsid w:val="546F0E0A"/>
    <w:rsid w:val="56865A7D"/>
    <w:rsid w:val="56AB5155"/>
    <w:rsid w:val="57313966"/>
    <w:rsid w:val="58016A0A"/>
    <w:rsid w:val="58121B96"/>
    <w:rsid w:val="583E376D"/>
    <w:rsid w:val="58E34C34"/>
    <w:rsid w:val="5A6C6059"/>
    <w:rsid w:val="5D0B2C53"/>
    <w:rsid w:val="5DD76B10"/>
    <w:rsid w:val="5E014390"/>
    <w:rsid w:val="5E3633EC"/>
    <w:rsid w:val="5F4A6202"/>
    <w:rsid w:val="616E34C6"/>
    <w:rsid w:val="61E21802"/>
    <w:rsid w:val="623D1E92"/>
    <w:rsid w:val="62715C60"/>
    <w:rsid w:val="627B657A"/>
    <w:rsid w:val="64A6112D"/>
    <w:rsid w:val="64C0477E"/>
    <w:rsid w:val="661104BF"/>
    <w:rsid w:val="699C4EA7"/>
    <w:rsid w:val="6AEC752C"/>
    <w:rsid w:val="6D15771F"/>
    <w:rsid w:val="6F6944D6"/>
    <w:rsid w:val="718A5772"/>
    <w:rsid w:val="76592994"/>
    <w:rsid w:val="79632EC7"/>
    <w:rsid w:val="7AFF2EFC"/>
    <w:rsid w:val="7F6E34E0"/>
    <w:rsid w:val="BDC7AFFB"/>
    <w:rsid w:val="BDFF5D3E"/>
    <w:rsid w:val="BFFF61E0"/>
    <w:rsid w:val="E81F8FE0"/>
    <w:rsid w:val="EB7A3EF3"/>
    <w:rsid w:val="FBAF34BD"/>
    <w:rsid w:val="FEEF77FE"/>
    <w:rsid w:val="FF5F5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2"/>
    <w:unhideWhenUsed/>
    <w:qFormat/>
    <w:uiPriority w:val="99"/>
    <w:pPr>
      <w:jc w:val="left"/>
    </w:pPr>
  </w:style>
  <w:style w:type="paragraph" w:styleId="3">
    <w:name w:val="Plain Text"/>
    <w:basedOn w:val="1"/>
    <w:link w:val="13"/>
    <w:unhideWhenUsed/>
    <w:qFormat/>
    <w:uiPriority w:val="99"/>
    <w:rPr>
      <w:rFonts w:ascii="宋体" w:hAnsi="Courier New"/>
      <w:kern w:val="0"/>
      <w:sz w:val="20"/>
      <w:szCs w:val="21"/>
    </w:rPr>
  </w:style>
  <w:style w:type="paragraph" w:styleId="4">
    <w:name w:val="Balloon Text"/>
    <w:basedOn w:val="1"/>
    <w:link w:val="14"/>
    <w:unhideWhenUsed/>
    <w:qFormat/>
    <w:uiPriority w:val="99"/>
    <w:rPr>
      <w:sz w:val="18"/>
      <w:szCs w:val="18"/>
    </w:rPr>
  </w:style>
  <w:style w:type="paragraph" w:styleId="5">
    <w:name w:val="footer"/>
    <w:basedOn w:val="1"/>
    <w:link w:val="15"/>
    <w:unhideWhenUsed/>
    <w:qFormat/>
    <w:uiPriority w:val="99"/>
    <w:pPr>
      <w:tabs>
        <w:tab w:val="center" w:pos="4153"/>
        <w:tab w:val="right" w:pos="8306"/>
      </w:tabs>
      <w:snapToGrid w:val="0"/>
      <w:jc w:val="left"/>
    </w:pPr>
    <w:rPr>
      <w:kern w:val="0"/>
      <w:sz w:val="18"/>
      <w:szCs w:val="18"/>
    </w:rPr>
  </w:style>
  <w:style w:type="paragraph" w:styleId="6">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character" w:customStyle="1" w:styleId="12">
    <w:name w:val="批注文字 字符"/>
    <w:link w:val="2"/>
    <w:qFormat/>
    <w:uiPriority w:val="99"/>
    <w:rPr>
      <w:rFonts w:ascii="Times New Roman" w:hAnsi="Times New Roman"/>
      <w:kern w:val="2"/>
      <w:sz w:val="21"/>
    </w:rPr>
  </w:style>
  <w:style w:type="character" w:customStyle="1" w:styleId="13">
    <w:name w:val="纯文本 字符"/>
    <w:link w:val="3"/>
    <w:qFormat/>
    <w:uiPriority w:val="99"/>
    <w:rPr>
      <w:rFonts w:ascii="宋体" w:hAnsi="Courier New" w:eastAsia="宋体" w:cs="Courier New"/>
      <w:szCs w:val="21"/>
    </w:rPr>
  </w:style>
  <w:style w:type="character" w:customStyle="1" w:styleId="14">
    <w:name w:val="批注框文本 字符"/>
    <w:link w:val="4"/>
    <w:semiHidden/>
    <w:qFormat/>
    <w:uiPriority w:val="99"/>
    <w:rPr>
      <w:kern w:val="2"/>
      <w:sz w:val="18"/>
      <w:szCs w:val="18"/>
    </w:rPr>
  </w:style>
  <w:style w:type="character" w:customStyle="1" w:styleId="15">
    <w:name w:val="页脚 字符"/>
    <w:link w:val="5"/>
    <w:qFormat/>
    <w:uiPriority w:val="99"/>
    <w:rPr>
      <w:rFonts w:ascii="Calibri" w:hAnsi="Calibri" w:eastAsia="宋体" w:cs="Times New Roman"/>
      <w:kern w:val="0"/>
      <w:sz w:val="18"/>
      <w:szCs w:val="18"/>
    </w:rPr>
  </w:style>
  <w:style w:type="character" w:customStyle="1" w:styleId="16">
    <w:name w:val="页眉 字符"/>
    <w:link w:val="6"/>
    <w:qFormat/>
    <w:uiPriority w:val="99"/>
    <w:rPr>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paragraph" w:styleId="18">
    <w:name w:val="List Paragraph"/>
    <w:basedOn w:val="1"/>
    <w:qFormat/>
    <w:uiPriority w:val="34"/>
    <w:pPr>
      <w:widowControl/>
      <w:ind w:firstLine="420"/>
    </w:pPr>
    <w:rPr>
      <w:rFonts w:cs="宋体"/>
      <w:kern w:val="0"/>
      <w:szCs w:val="21"/>
    </w:rPr>
  </w:style>
  <w:style w:type="paragraph" w:customStyle="1" w:styleId="19">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0">
    <w:name w:val="_Style 19"/>
    <w:unhideWhenUsed/>
    <w:qFormat/>
    <w:uiPriority w:val="99"/>
    <w:rPr>
      <w:rFonts w:ascii="Times New Roman" w:hAnsi="Times New Roman" w:eastAsia="宋体" w:cs="Times New Roman"/>
      <w:kern w:val="2"/>
      <w:sz w:val="21"/>
      <w:lang w:val="en-US" w:eastAsia="zh-CN" w:bidi="ar-SA"/>
    </w:rPr>
  </w:style>
  <w:style w:type="character" w:customStyle="1" w:styleId="21">
    <w:name w:val="15"/>
    <w:basedOn w:val="10"/>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12956</Words>
  <Characters>13521</Characters>
  <Lines>100</Lines>
  <Paragraphs>28</Paragraphs>
  <TotalTime>0</TotalTime>
  <ScaleCrop>false</ScaleCrop>
  <LinksUpToDate>false</LinksUpToDate>
  <CharactersWithSpaces>13816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2022-03-10T07:10:00Z</dcterms:created>
  <dc:creator>陈浩</dc:creator>
  <cp:lastModifiedBy>应心茹</cp:lastModifiedBy>
  <dcterms:modified xsi:type="dcterms:W3CDTF">2025-06-20T09:25:54Z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7BE945DF9C5BDACD6E3DF8643B3AC595_43</vt:lpwstr>
  </property>
  <property fmtid="{D5CDD505-2E9C-101B-9397-08002B2CF9AE}" pid="4" name="KSOTemplateDocerSaveRecord">
    <vt:lpwstr>eyJoZGlkIjoiZWNlNjU5NjliMTgyYzBmZjRiNGFhMjFmOTUwYjlmZDgiLCJ1c2VySWQiOiIzOTQzMjAxMTgifQ==</vt:lpwstr>
  </property>
</Properties>
</file>