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温州银行“金鹿理财-普惠月享”</w:t>
      </w:r>
      <w:r>
        <w:rPr>
          <w:rFonts w:hint="eastAsia" w:ascii="黑体" w:eastAsia="黑体"/>
          <w:color w:val="000000"/>
          <w:sz w:val="30"/>
          <w:szCs w:val="30"/>
          <w:u w:val="single"/>
        </w:rPr>
        <w:t>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普惠月享”</w:t>
      </w:r>
      <w:r>
        <w:rPr>
          <w:rFonts w:hint="eastAsia"/>
        </w:rPr>
        <w:t xml:space="preserve"> </w:t>
      </w:r>
      <w:r>
        <w:rPr>
          <w:rFonts w:hint="eastAsia"/>
          <w:color w:val="000000"/>
          <w:szCs w:val="21"/>
          <w:u w:val="single"/>
        </w:rPr>
        <w:t>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“金鹿理财-普惠月享”3号开放式净值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PR2级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普惠月享”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月享”3号开放式净值型银行理财计划产品说明书》、《温州银行“金鹿理财-普惠月享”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3号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普惠月享”3号开放式净值型银行理财计划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“金鹿理财-普惠月享”</w:t>
            </w:r>
            <w:r>
              <w:rPr>
                <w:rFonts w:hint="eastAsia"/>
                <w:color w:val="000000"/>
                <w:sz w:val="18"/>
                <w:szCs w:val="18"/>
                <w:u w:val="single"/>
              </w:rPr>
              <w:t>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C1092221000142</w:t>
            </w:r>
          </w:p>
          <w:p>
            <w:pPr>
              <w:pStyle w:val="15"/>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(投资者可登录中国理财网www.chinawealth.com.cn查询产品信息)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cs="Times New Roman"/>
                <w:sz w:val="18"/>
                <w:szCs w:val="18"/>
              </w:rPr>
              <w:t>投资</w:t>
            </w:r>
            <w:r>
              <w:rPr>
                <w:rFonts w:hint="eastAsia" w:cs="Times New Roman"/>
                <w:sz w:val="18"/>
                <w:szCs w:val="18"/>
              </w:rPr>
              <w:t>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（申购）期</w:t>
            </w:r>
            <w:r>
              <w:rPr>
                <w:rFonts w:hint="eastAsia" w:cs="Times New Roman"/>
                <w:sz w:val="18"/>
                <w:szCs w:val="18"/>
              </w:rPr>
              <w:t>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2021年5月6日</w:t>
            </w:r>
            <w:r>
              <w:rPr>
                <w:rFonts w:hint="eastAsia"/>
                <w:sz w:val="18"/>
                <w:szCs w:val="18"/>
                <w:u w:val="single"/>
              </w:rPr>
              <w:t>至</w:t>
            </w:r>
            <w:r>
              <w:rPr>
                <w:rFonts w:hint="eastAsia"/>
                <w:color w:val="000000"/>
                <w:sz w:val="18"/>
                <w:szCs w:val="18"/>
                <w:u w:val="single"/>
                <w:lang w:val="en-US" w:eastAsia="zh-CN"/>
              </w:rPr>
              <w:t>2021年5月12日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本理财计划成立日为2021年5月13日。温州银行有权根据实际募集情况选择产品提前成立，若温州银行采取以上措施，温州银行将就产品相应要素的调整事宜于提前成立日前的一个工作日在温州银行网站予以公告。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hint="eastAsia"/>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《温州银行“金鹿理财-普惠月享”3号开放式净值型（第i期）银行理财计划开放认购（申购）申请书》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hint="eastAsia"/>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在本理财产品扣除产品固定管理费（如有）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199"/>
        <w:gridCol w:w="5498"/>
        <w:gridCol w:w="1703"/>
      </w:tblGrid>
      <w:tr>
        <w:tblPrEx>
          <w:tblCellMar>
            <w:top w:w="0" w:type="dxa"/>
            <w:left w:w="108" w:type="dxa"/>
            <w:bottom w:w="0" w:type="dxa"/>
            <w:right w:w="108" w:type="dxa"/>
          </w:tblCellMar>
        </w:tblPrEx>
        <w:trPr>
          <w:trHeight w:val="270" w:hRule="atLeast"/>
          <w:jc w:val="center"/>
        </w:trPr>
        <w:tc>
          <w:tcPr>
            <w:tcW w:w="2199"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8"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199"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color w:val="000000"/>
                <w:kern w:val="0"/>
                <w:sz w:val="18"/>
                <w:szCs w:val="18"/>
              </w:rPr>
              <w:t>债券回购、</w:t>
            </w:r>
            <w:r>
              <w:rPr>
                <w:rFonts w:hint="eastAsia" w:ascii="宋体" w:hAnsi="宋体" w:cs="宋体"/>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tcBorders>
              <w:top w:val="nil"/>
              <w:left w:val="single" w:color="auto" w:sz="4" w:space="0"/>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8" w:type="dxa"/>
            <w:tcBorders>
              <w:top w:val="nil"/>
              <w:left w:val="nil"/>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rFonts w:hint="eastAsia"/>
          <w:b/>
          <w:bCs/>
          <w:sz w:val="18"/>
          <w:szCs w:val="18"/>
        </w:rPr>
      </w:pPr>
      <w:r>
        <w:rPr>
          <w:rFonts w:hint="eastAsia"/>
          <w:b/>
          <w:bCs/>
          <w:sz w:val="18"/>
          <w:szCs w:val="18"/>
        </w:rPr>
        <w:t>投资合作机构</w:t>
      </w:r>
    </w:p>
    <w:p>
      <w:pPr>
        <w:adjustRightInd w:val="0"/>
        <w:snapToGrid w:val="0"/>
        <w:spacing w:line="286" w:lineRule="auto"/>
        <w:rPr>
          <w:rFonts w:hint="eastAsia"/>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《温州银行“金鹿理财-普惠月享”3号开放式净值型（第i期）银行理财计划开放认购（申购）申请书》。投资运作周期到期时，该周期内的资金收益情况根据所投资资产组合的实际运作情况确定。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：本理财计划成立日为2021年5月13日，从成立日起，每</w:t>
      </w:r>
      <w:r>
        <w:rPr>
          <w:rFonts w:ascii="宋体" w:hAnsi="宋体"/>
          <w:sz w:val="18"/>
        </w:rPr>
        <w:t>【</w:t>
      </w:r>
      <w:r>
        <w:rPr>
          <w:rFonts w:hint="eastAsia" w:ascii="宋体" w:hAnsi="宋体"/>
          <w:color w:val="000000"/>
          <w:sz w:val="18"/>
        </w:rPr>
        <w:t>28</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rFonts w:hint="eastAsia"/>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bCs/>
          <w:sz w:val="18"/>
          <w:szCs w:val="18"/>
        </w:rPr>
      </w:pPr>
      <w:r>
        <w:rPr>
          <w:rFonts w:hint="eastAsia"/>
          <w:sz w:val="18"/>
          <w:szCs w:val="18"/>
        </w:rPr>
        <w:t>本产品预计到期终止日为</w:t>
      </w:r>
      <w:r>
        <w:rPr>
          <w:rFonts w:hint="eastAsia"/>
          <w:color w:val="000000"/>
          <w:sz w:val="18"/>
        </w:rPr>
        <w:t>2031年5月13日，</w:t>
      </w:r>
      <w:r>
        <w:rPr>
          <w:rFonts w:hint="eastAsia"/>
          <w:bCs/>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rFonts w:hint="eastAsia"/>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rFonts w:hint="eastAsia"/>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rFonts w:hint="eastAsia"/>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rFonts w:hint="eastAsia"/>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rFonts w:hint="eastAsia"/>
          <w:sz w:val="18"/>
          <w:szCs w:val="18"/>
        </w:rPr>
      </w:pPr>
      <w:r>
        <w:rPr>
          <w:rFonts w:hint="eastAsia"/>
          <w:sz w:val="18"/>
          <w:szCs w:val="18"/>
        </w:rPr>
        <w:t>计算公式:</w:t>
      </w:r>
    </w:p>
    <w:p>
      <w:pPr>
        <w:adjustRightInd w:val="0"/>
        <w:snapToGrid w:val="0"/>
        <w:spacing w:line="286" w:lineRule="auto"/>
        <w:rPr>
          <w:rFonts w:hint="eastAsia"/>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投资者理财计划到期日持有理财计划份额×理财计划到期日理财计划单位净值</w:t>
      </w:r>
      <w:r>
        <w:rPr>
          <w:sz w:val="18"/>
          <w:szCs w:val="18"/>
        </w:rPr>
        <w:t>-税费（如有）</w:t>
      </w: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理财计划到期日单位净值-认购（申购）确认日前一自然日单位净值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ascii="宋体" w:hAnsi="宋体"/>
          <w:sz w:val="18"/>
          <w:szCs w:val="18"/>
        </w:rPr>
        <w:t>7、早偿风险：如温州银行在特定情</w:t>
      </w:r>
      <w:r>
        <w:rPr>
          <w:rFonts w:hint="eastAsia"/>
          <w:sz w:val="18"/>
          <w:szCs w:val="18"/>
        </w:rPr>
        <w:t>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hint="eastAsia"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rFonts w:hint="eastAsia"/>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份额累计净值、认购（申购）价格和赎回价格。</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rFonts w:hint="eastAsia"/>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月享”3号开放式净值型银行理财计划风险揭示书》、《温州银行“金鹿理财”银行理财计划合约》、《温州银行“金鹿理财-普惠月享”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hint="eastAsia" w:ascii="宋体" w:hAnsi="宋体"/>
          <w:szCs w:val="21"/>
        </w:rPr>
      </w:pPr>
      <w:r>
        <w:rPr>
          <w:rFonts w:hint="eastAsia" w:ascii="宋体" w:hAnsi="宋体"/>
          <w:szCs w:val="21"/>
        </w:rPr>
        <w:t xml:space="preserve">         投资者签章：                                 日期：</w:t>
      </w:r>
    </w:p>
    <w:p>
      <w:pPr>
        <w:rPr>
          <w:rFonts w:hint="eastAsia"/>
          <w:szCs w:val="30"/>
        </w:rPr>
      </w:pPr>
    </w:p>
    <w:p>
      <w:pPr>
        <w:pStyle w:val="3"/>
        <w:rPr>
          <w:rFonts w:hint="eastAsia" w:hAnsi="宋体" w:cs="宋体"/>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E3aK6I3rwoSNAPU7f8G5iYHsOcQ=" w:salt="qgeYr+mn0/cm92HCl4D7LQ=="/>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7B"/>
    <w:rsid w:val="000000F1"/>
    <w:rsid w:val="00003603"/>
    <w:rsid w:val="00057DEC"/>
    <w:rsid w:val="00072FB0"/>
    <w:rsid w:val="000C42F2"/>
    <w:rsid w:val="000F75FC"/>
    <w:rsid w:val="0011069E"/>
    <w:rsid w:val="00123BC7"/>
    <w:rsid w:val="00267600"/>
    <w:rsid w:val="002D1363"/>
    <w:rsid w:val="0033085F"/>
    <w:rsid w:val="0035559F"/>
    <w:rsid w:val="003C4673"/>
    <w:rsid w:val="003D318B"/>
    <w:rsid w:val="00457797"/>
    <w:rsid w:val="004B0637"/>
    <w:rsid w:val="004C31F5"/>
    <w:rsid w:val="00627DB7"/>
    <w:rsid w:val="006351FE"/>
    <w:rsid w:val="0066659C"/>
    <w:rsid w:val="00673530"/>
    <w:rsid w:val="00777EEF"/>
    <w:rsid w:val="00852001"/>
    <w:rsid w:val="00936E45"/>
    <w:rsid w:val="009A290C"/>
    <w:rsid w:val="009F70FC"/>
    <w:rsid w:val="00A06D60"/>
    <w:rsid w:val="00A20A00"/>
    <w:rsid w:val="00A253A8"/>
    <w:rsid w:val="00A33517"/>
    <w:rsid w:val="00A46AFC"/>
    <w:rsid w:val="00A56BAA"/>
    <w:rsid w:val="00B05D42"/>
    <w:rsid w:val="00BC3BFF"/>
    <w:rsid w:val="00BF4D76"/>
    <w:rsid w:val="00C36DF3"/>
    <w:rsid w:val="00C653DD"/>
    <w:rsid w:val="00C67563"/>
    <w:rsid w:val="00C926AC"/>
    <w:rsid w:val="00CA4A86"/>
    <w:rsid w:val="00CC4C8E"/>
    <w:rsid w:val="00CE4830"/>
    <w:rsid w:val="00D04BBF"/>
    <w:rsid w:val="00D57B7B"/>
    <w:rsid w:val="00D645E7"/>
    <w:rsid w:val="00E061C3"/>
    <w:rsid w:val="00EE6835"/>
    <w:rsid w:val="00EF688E"/>
    <w:rsid w:val="00F16861"/>
    <w:rsid w:val="00F27B42"/>
    <w:rsid w:val="00F33BD6"/>
    <w:rsid w:val="00FF044A"/>
    <w:rsid w:val="03C0209D"/>
    <w:rsid w:val="05025E75"/>
    <w:rsid w:val="09D23499"/>
    <w:rsid w:val="0B0417FA"/>
    <w:rsid w:val="0B0F2D67"/>
    <w:rsid w:val="11B87CD0"/>
    <w:rsid w:val="12B7519C"/>
    <w:rsid w:val="149F54FC"/>
    <w:rsid w:val="18772FCC"/>
    <w:rsid w:val="187802C2"/>
    <w:rsid w:val="19052EAD"/>
    <w:rsid w:val="1A632B3C"/>
    <w:rsid w:val="1AC872C1"/>
    <w:rsid w:val="1BF4648C"/>
    <w:rsid w:val="1F833EA5"/>
    <w:rsid w:val="202D51F7"/>
    <w:rsid w:val="212E1DF3"/>
    <w:rsid w:val="23E313C4"/>
    <w:rsid w:val="23E83A25"/>
    <w:rsid w:val="28B766F6"/>
    <w:rsid w:val="299B7AA8"/>
    <w:rsid w:val="2A4A2CA1"/>
    <w:rsid w:val="2BA97CAA"/>
    <w:rsid w:val="2C0D236A"/>
    <w:rsid w:val="2D0E5B68"/>
    <w:rsid w:val="3137458B"/>
    <w:rsid w:val="35D2474F"/>
    <w:rsid w:val="36D65DF6"/>
    <w:rsid w:val="3DCD0356"/>
    <w:rsid w:val="3DE67AF3"/>
    <w:rsid w:val="3E1D64F1"/>
    <w:rsid w:val="443479B1"/>
    <w:rsid w:val="458B49FF"/>
    <w:rsid w:val="45C070A6"/>
    <w:rsid w:val="46F17C65"/>
    <w:rsid w:val="484C5B1A"/>
    <w:rsid w:val="48A849E0"/>
    <w:rsid w:val="491C4520"/>
    <w:rsid w:val="4B771C09"/>
    <w:rsid w:val="4BF95C84"/>
    <w:rsid w:val="4EBC6227"/>
    <w:rsid w:val="508C311D"/>
    <w:rsid w:val="54161E94"/>
    <w:rsid w:val="54565FE6"/>
    <w:rsid w:val="57342A46"/>
    <w:rsid w:val="587A4390"/>
    <w:rsid w:val="58E666C9"/>
    <w:rsid w:val="591C475B"/>
    <w:rsid w:val="5EFE2025"/>
    <w:rsid w:val="612F605E"/>
    <w:rsid w:val="617D113F"/>
    <w:rsid w:val="637F3959"/>
    <w:rsid w:val="672C3A8F"/>
    <w:rsid w:val="69067839"/>
    <w:rsid w:val="6A043AAB"/>
    <w:rsid w:val="6D2978FF"/>
    <w:rsid w:val="6D482330"/>
    <w:rsid w:val="6E5349F2"/>
    <w:rsid w:val="6F5F24DC"/>
    <w:rsid w:val="71A27B41"/>
    <w:rsid w:val="732C6CB8"/>
    <w:rsid w:val="746E15DF"/>
    <w:rsid w:val="762B48EB"/>
    <w:rsid w:val="76805450"/>
    <w:rsid w:val="77303E4B"/>
    <w:rsid w:val="77417B54"/>
    <w:rsid w:val="77974C69"/>
    <w:rsid w:val="77B8632A"/>
    <w:rsid w:val="7947704C"/>
    <w:rsid w:val="7ABE4794"/>
    <w:rsid w:val="7ADC5262"/>
    <w:rsid w:val="7B517115"/>
    <w:rsid w:val="7C245B74"/>
    <w:rsid w:val="7C786754"/>
    <w:rsid w:val="7CE422D7"/>
    <w:rsid w:val="7EDF28B4"/>
    <w:rsid w:val="7F0972B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uiPriority w:val="99"/>
    <w:pPr>
      <w:jc w:val="left"/>
    </w:pPr>
  </w:style>
  <w:style w:type="paragraph" w:styleId="3">
    <w:name w:val="Plain Text"/>
    <w:basedOn w:val="1"/>
    <w:link w:val="10"/>
    <w:unhideWhenUsed/>
    <w:qFormat/>
    <w:uiPriority w:val="99"/>
    <w:rPr>
      <w:rFonts w:ascii="宋体" w:hAnsi="Courier New" w:eastAsia="宋体" w:cs="Courier New"/>
      <w:szCs w:val="21"/>
    </w:rPr>
  </w:style>
  <w:style w:type="paragraph" w:styleId="4">
    <w:name w:val="Balloon Text"/>
    <w:basedOn w:val="1"/>
    <w:link w:val="11"/>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character" w:customStyle="1" w:styleId="10">
    <w:name w:val="纯文本 字符"/>
    <w:link w:val="3"/>
    <w:qFormat/>
    <w:uiPriority w:val="99"/>
    <w:rPr>
      <w:rFonts w:ascii="宋体" w:hAnsi="Courier New" w:eastAsia="宋体" w:cs="Courier New"/>
      <w:szCs w:val="21"/>
    </w:rPr>
  </w:style>
  <w:style w:type="character" w:customStyle="1" w:styleId="11">
    <w:name w:val="批注框文本 字符"/>
    <w:link w:val="4"/>
    <w:semiHidden/>
    <w:uiPriority w:val="99"/>
    <w:rPr>
      <w:rFonts w:ascii="Times New Roman" w:hAnsi="Times New Roman"/>
      <w:kern w:val="2"/>
      <w:sz w:val="18"/>
      <w:szCs w:val="18"/>
    </w:rPr>
  </w:style>
  <w:style w:type="character" w:customStyle="1" w:styleId="12">
    <w:name w:val="页脚 字符"/>
    <w:link w:val="5"/>
    <w:semiHidden/>
    <w:qFormat/>
    <w:uiPriority w:val="99"/>
    <w:rPr>
      <w:rFonts w:ascii="Times New Roman" w:hAnsi="Times New Roman" w:eastAsia="宋体" w:cs="Times New Roman"/>
      <w:sz w:val="18"/>
      <w:szCs w:val="18"/>
    </w:rPr>
  </w:style>
  <w:style w:type="character" w:customStyle="1" w:styleId="13">
    <w:name w:val="页眉 字符"/>
    <w:link w:val="6"/>
    <w:qFormat/>
    <w:uiPriority w:val="99"/>
    <w:rPr>
      <w:rFonts w:ascii="Times New Roman" w:hAnsi="Times New Roman"/>
      <w:kern w:val="2"/>
      <w:sz w:val="18"/>
      <w:szCs w:val="18"/>
    </w:rPr>
  </w:style>
  <w:style w:type="character" w:customStyle="1" w:styleId="14">
    <w:name w:val="页脚 Char"/>
    <w:qFormat/>
    <w:uiPriority w:val="99"/>
    <w:rPr>
      <w:sz w:val="18"/>
      <w:szCs w:val="18"/>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17912</Words>
  <Characters>18211</Characters>
  <Lines>135</Lines>
  <Paragraphs>38</Paragraphs>
  <TotalTime>0</TotalTime>
  <ScaleCrop>false</ScaleCrop>
  <LinksUpToDate>false</LinksUpToDate>
  <CharactersWithSpaces>18508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2022-01-10T07:21:00Z</dcterms:created>
  <dc:creator>陈浩</dc:creator>
  <cp:lastModifiedBy>应心茹</cp:lastModifiedBy>
  <dcterms:modified xsi:type="dcterms:W3CDTF">2025-06-20T09:25:55Z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98B060CE87CD437093785D2EE21AD7D8_13</vt:lpwstr>
  </property>
  <property fmtid="{D5CDD505-2E9C-101B-9397-08002B2CF9AE}" pid="4" name="KSOTemplateDocerSaveRecord">
    <vt:lpwstr>eyJoZGlkIjoiZWNlNjU5NjliMTgyYzBmZjRiNGFhMjFmOTUwYjlmZDgiLCJ1c2VySWQiOiIzOTQzMjAxMTgifQ==</vt:lpwstr>
  </property>
</Properties>
</file>