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20014号开放式净值型银行理财计划产品说明书》、《温州银行“金鹿理财-温盈”20014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2020年2月10日</w:t>
            </w:r>
            <w:r>
              <w:rPr>
                <w:rFonts w:hint="eastAsia"/>
                <w:sz w:val="18"/>
                <w:szCs w:val="18"/>
                <w:u w:val="single"/>
              </w:rPr>
              <w:t>至</w:t>
            </w:r>
            <w:r>
              <w:rPr>
                <w:rFonts w:hint="eastAsia"/>
                <w:color w:val="000000"/>
                <w:sz w:val="18"/>
                <w:szCs w:val="18"/>
                <w:u w:val="single"/>
                <w:lang w:val="en-US" w:eastAsia="zh-CN"/>
              </w:rPr>
              <w:t>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20014号开放式净值型银行理财计划风险揭示书》、《温州银行“金鹿理财”银行理财计划合约》、《温州银行“金鹿理财-温盈”20014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0pW/NOYKXVAbsa1nVJot8hVXpiU=" w:salt="uZXu4AExluVmyda6jyVG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DB210D2"/>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2025-06-20T09:25:57Z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